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F193E" w14:textId="77777777" w:rsidR="00D47489" w:rsidRPr="00612BA6" w:rsidRDefault="00D47489" w:rsidP="00D47489">
      <w:pPr>
        <w:pStyle w:val="Heading4"/>
        <w:rPr>
          <w:b/>
          <w:bCs/>
          <w:sz w:val="32"/>
          <w:szCs w:val="32"/>
        </w:rPr>
      </w:pPr>
      <w:r w:rsidRPr="00612BA6">
        <w:rPr>
          <w:b/>
          <w:bCs/>
          <w:sz w:val="32"/>
          <w:szCs w:val="32"/>
        </w:rPr>
        <w:t>From Communion and Relationship by F. Joshua Marion</w:t>
      </w:r>
    </w:p>
    <w:p w14:paraId="1CAC3EEB" w14:textId="77777777" w:rsidR="00D47489" w:rsidRDefault="00D47489" w:rsidP="007D388D">
      <w:pPr>
        <w:pStyle w:val="BodyTextIndent"/>
        <w:ind w:firstLine="0"/>
        <w:rPr>
          <w:rFonts w:ascii="Cooper Black" w:hAnsi="Cooper Black"/>
          <w:b/>
          <w:bCs/>
          <w:sz w:val="28"/>
        </w:rPr>
      </w:pPr>
    </w:p>
    <w:p w14:paraId="605CE228" w14:textId="6284D355" w:rsidR="007D388D" w:rsidRDefault="007D388D" w:rsidP="007D388D">
      <w:pPr>
        <w:pStyle w:val="BodyTextIndent"/>
        <w:ind w:firstLine="0"/>
        <w:rPr>
          <w:rFonts w:ascii="Cooper Black" w:hAnsi="Cooper Black"/>
          <w:b/>
          <w:bCs/>
          <w:sz w:val="28"/>
        </w:rPr>
      </w:pPr>
      <w:r>
        <w:rPr>
          <w:rFonts w:ascii="Cooper Black" w:hAnsi="Cooper Black"/>
          <w:b/>
          <w:bCs/>
          <w:sz w:val="28"/>
        </w:rPr>
        <w:t>V. The Nature of Creation:</w:t>
      </w:r>
    </w:p>
    <w:p w14:paraId="665D0AB8" w14:textId="77777777" w:rsidR="007D388D" w:rsidRDefault="007D388D" w:rsidP="007D388D">
      <w:pPr>
        <w:pStyle w:val="BodyTextIndent"/>
        <w:ind w:firstLine="0"/>
        <w:rPr>
          <w:b/>
          <w:bCs/>
        </w:rPr>
      </w:pPr>
    </w:p>
    <w:p w14:paraId="1A712E28" w14:textId="77777777" w:rsidR="007D388D" w:rsidRDefault="007D388D" w:rsidP="007D388D">
      <w:pPr>
        <w:pStyle w:val="BodyTextIndent"/>
        <w:ind w:firstLine="0"/>
        <w:rPr>
          <w:b/>
          <w:bCs/>
        </w:rPr>
      </w:pPr>
      <w:r>
        <w:rPr>
          <w:b/>
          <w:bCs/>
        </w:rPr>
        <w:t>God’s Purpose in Creation:</w:t>
      </w:r>
    </w:p>
    <w:p w14:paraId="03046AEF" w14:textId="77777777" w:rsidR="007D388D" w:rsidRDefault="007D388D" w:rsidP="007D388D">
      <w:pPr>
        <w:ind w:firstLine="720"/>
        <w:jc w:val="both"/>
      </w:pPr>
    </w:p>
    <w:p w14:paraId="5B87015A" w14:textId="77777777" w:rsidR="007D388D" w:rsidRDefault="007D388D" w:rsidP="007D388D">
      <w:pPr>
        <w:spacing w:line="480" w:lineRule="auto"/>
        <w:ind w:firstLine="720"/>
        <w:jc w:val="both"/>
      </w:pPr>
      <w:r>
        <w:t>We have just seen how God does not abandon His creatures to themselves but upholds and sustains everything that exists. This enables His creatures to act with Him as He brings them to their final end which is in Him.</w:t>
      </w:r>
      <w:r>
        <w:rPr>
          <w:rStyle w:val="FootnoteReference"/>
          <w:rFonts w:eastAsiaTheme="majorEastAsia"/>
          <w:bCs/>
        </w:rPr>
        <w:footnoteReference w:id="1"/>
      </w:r>
      <w:r>
        <w:t xml:space="preserve"> It is not only because He is the Creator but also because divine love is creative and brings into existence that which did not previously exist. If creation is a freely given gift, then all created reality is an expression of the divine love, an infinite love that created all things overflowing from His goodness.</w:t>
      </w:r>
      <w:r>
        <w:rPr>
          <w:rStyle w:val="FootnoteReference"/>
          <w:rFonts w:eastAsiaTheme="majorEastAsia"/>
        </w:rPr>
        <w:footnoteReference w:id="2"/>
      </w:r>
      <w:r>
        <w:t xml:space="preserve"> We continue to exist because God has created us through love, and it is through love that all is held in existence.</w:t>
      </w:r>
      <w:r>
        <w:rPr>
          <w:rStyle w:val="FootnoteReference"/>
          <w:rFonts w:eastAsiaTheme="majorEastAsia"/>
        </w:rPr>
        <w:footnoteReference w:id="3"/>
      </w:r>
    </w:p>
    <w:p w14:paraId="654BD22E" w14:textId="77777777" w:rsidR="007D388D" w:rsidRDefault="007D388D" w:rsidP="007D388D">
      <w:pPr>
        <w:spacing w:line="480" w:lineRule="auto"/>
        <w:jc w:val="both"/>
      </w:pPr>
    </w:p>
    <w:p w14:paraId="28CB228D" w14:textId="77777777" w:rsidR="007D388D" w:rsidRDefault="007D388D" w:rsidP="007D388D">
      <w:pPr>
        <w:spacing w:line="480" w:lineRule="auto"/>
        <w:ind w:firstLine="720"/>
        <w:jc w:val="both"/>
      </w:pPr>
      <w:r>
        <w:t xml:space="preserve">The </w:t>
      </w:r>
      <w:r>
        <w:rPr>
          <w:i/>
          <w:iCs/>
        </w:rPr>
        <w:t xml:space="preserve">Catechism of the Catholic Church </w:t>
      </w:r>
      <w:r>
        <w:t>points out that God created the world to show forth and communicate His glory. He wanted His creatures to share in His truth, goodness and beauty -- this is the glory for which God created them.</w:t>
      </w:r>
      <w:r>
        <w:rPr>
          <w:rStyle w:val="FootnoteReference"/>
          <w:rFonts w:eastAsiaTheme="majorEastAsia"/>
        </w:rPr>
        <w:footnoteReference w:id="4"/>
      </w:r>
      <w:r>
        <w:t xml:space="preserve"> He wanted His creatures to have a meaning and purpose, not only that they should share in eternal life with the saints, but that all creation would be all in Christ. St Paul advises us that from the beginning, God envisaged the glory of the new creation in Christ.</w:t>
      </w:r>
      <w:r>
        <w:rPr>
          <w:rStyle w:val="FootnoteReference"/>
          <w:rFonts w:eastAsiaTheme="majorEastAsia"/>
        </w:rPr>
        <w:footnoteReference w:id="5"/>
      </w:r>
      <w:r>
        <w:t xml:space="preserve"> Jesus was always God’s goal not an afterthought to the act of Creation, for “God chose us in him before the foundation of the world.”</w:t>
      </w:r>
      <w:r>
        <w:rPr>
          <w:rStyle w:val="FootnoteReference"/>
          <w:rFonts w:eastAsiaTheme="majorEastAsia"/>
        </w:rPr>
        <w:footnoteReference w:id="6"/>
      </w:r>
      <w:r>
        <w:t xml:space="preserve"> Creation is the foundation of “all God’s saving plans”, the “beginning of the history of salvation” that culminates in Christ. We will later show how the mystery of Christ casts light on the mystery </w:t>
      </w:r>
      <w:r>
        <w:lastRenderedPageBreak/>
        <w:t>of creation and reveals the end for which “in the beginning God created the heavens and the earth.”</w:t>
      </w:r>
    </w:p>
    <w:p w14:paraId="13F94E05" w14:textId="77777777" w:rsidR="007D388D" w:rsidRDefault="007D388D" w:rsidP="007D388D">
      <w:pPr>
        <w:spacing w:line="480" w:lineRule="auto"/>
        <w:jc w:val="both"/>
      </w:pPr>
    </w:p>
    <w:p w14:paraId="5E32E4A4" w14:textId="77777777" w:rsidR="007D388D" w:rsidRDefault="007D388D" w:rsidP="007D388D">
      <w:pPr>
        <w:pStyle w:val="BodyTextIndent"/>
        <w:ind w:firstLine="0"/>
        <w:rPr>
          <w:b/>
          <w:bCs/>
        </w:rPr>
      </w:pPr>
      <w:r>
        <w:rPr>
          <w:b/>
          <w:bCs/>
        </w:rPr>
        <w:t>All Things Are in God:</w:t>
      </w:r>
    </w:p>
    <w:p w14:paraId="617A44B6" w14:textId="77777777" w:rsidR="007D388D" w:rsidRDefault="007D388D" w:rsidP="007D388D">
      <w:pPr>
        <w:pStyle w:val="BodyTextIndent"/>
        <w:ind w:firstLine="0"/>
      </w:pPr>
    </w:p>
    <w:p w14:paraId="2AAAF1DB" w14:textId="77777777" w:rsidR="007D388D" w:rsidRDefault="007D388D" w:rsidP="007D388D">
      <w:pPr>
        <w:spacing w:line="480" w:lineRule="auto"/>
        <w:ind w:firstLine="720"/>
        <w:jc w:val="both"/>
      </w:pPr>
      <w:r>
        <w:t>God’s glory and divine goodness is in some way reflected in creation, so much so that it can be said that creation is a reflection of its Creator. Aquinas agrees that God leaves traces of His Being in His work of creation: “For God brought things into existence that his goodness might be communicated to his creatures and be represented by them.”</w:t>
      </w:r>
      <w:r>
        <w:rPr>
          <w:rStyle w:val="FootnoteReference"/>
          <w:rFonts w:eastAsiaTheme="majorEastAsia"/>
        </w:rPr>
        <w:footnoteReference w:id="7"/>
      </w:r>
      <w:r>
        <w:t xml:space="preserve"> Though God can be known from the created world by the natural light of human reason, creation is not God and God has not collapsed into the world, but rather creation opens us up to the reality that God is its source, the source of all life.</w:t>
      </w:r>
      <w:r>
        <w:rPr>
          <w:rStyle w:val="FootnoteReference"/>
          <w:rFonts w:eastAsiaTheme="majorEastAsia"/>
        </w:rPr>
        <w:footnoteReference w:id="8"/>
      </w:r>
      <w:r>
        <w:t xml:space="preserve"> For example, God is like an infinite ocean of </w:t>
      </w:r>
      <w:r>
        <w:rPr>
          <w:i/>
          <w:iCs/>
        </w:rPr>
        <w:t>Being</w:t>
      </w:r>
      <w:r>
        <w:t xml:space="preserve">, nothing can be outside of God because He is its creative and sustaining power. Though we can say God is directly present to all things by His creative power, this should not be taken to mean that </w:t>
      </w:r>
      <w:r>
        <w:rPr>
          <w:b/>
          <w:bCs/>
          <w:i/>
          <w:iCs/>
        </w:rPr>
        <w:t>God is all things</w:t>
      </w:r>
      <w:r>
        <w:t xml:space="preserve">. Otherwise we fall into the error of </w:t>
      </w:r>
      <w:r>
        <w:rPr>
          <w:i/>
          <w:iCs/>
        </w:rPr>
        <w:t>pantheism</w:t>
      </w:r>
      <w:r>
        <w:t>, which identifies God with the world. God creates the diversity from Himself and at the same time bridges the diversity by His creative power. John McDade, an American theologian, states it is not that God is in everything but that all things are ‘in him’.</w:t>
      </w:r>
      <w:r>
        <w:rPr>
          <w:rStyle w:val="FootnoteReference"/>
          <w:rFonts w:eastAsiaTheme="majorEastAsia"/>
        </w:rPr>
        <w:footnoteReference w:id="9"/>
      </w:r>
    </w:p>
    <w:p w14:paraId="7B0D1C12" w14:textId="77777777" w:rsidR="007D388D" w:rsidRDefault="007D388D" w:rsidP="007D388D">
      <w:pPr>
        <w:spacing w:line="480" w:lineRule="auto"/>
        <w:jc w:val="both"/>
      </w:pPr>
    </w:p>
    <w:p w14:paraId="40FAE39D" w14:textId="77777777" w:rsidR="007D388D" w:rsidRDefault="007D388D" w:rsidP="007D388D">
      <w:pPr>
        <w:pStyle w:val="BodyTextIndent"/>
        <w:ind w:firstLine="0"/>
        <w:rPr>
          <w:b/>
          <w:bCs/>
        </w:rPr>
      </w:pPr>
      <w:r>
        <w:rPr>
          <w:b/>
          <w:bCs/>
        </w:rPr>
        <w:t>“In the Image of God He Made Them”:</w:t>
      </w:r>
    </w:p>
    <w:p w14:paraId="73FAC849" w14:textId="77777777" w:rsidR="007D388D" w:rsidRDefault="007D388D" w:rsidP="007D388D">
      <w:pPr>
        <w:pStyle w:val="BodyTextIndent"/>
        <w:ind w:firstLine="0"/>
      </w:pPr>
    </w:p>
    <w:p w14:paraId="76E298F2" w14:textId="77777777" w:rsidR="007D388D" w:rsidRDefault="007D388D" w:rsidP="007D388D">
      <w:pPr>
        <w:spacing w:line="480" w:lineRule="auto"/>
        <w:ind w:firstLine="720"/>
        <w:jc w:val="both"/>
      </w:pPr>
      <w:r>
        <w:t xml:space="preserve">The book of Genesis is the primary source of our theological reflection about God as Creator. The </w:t>
      </w:r>
      <w:r>
        <w:rPr>
          <w:i/>
          <w:iCs/>
        </w:rPr>
        <w:t xml:space="preserve">Catechism of the Catholic Church </w:t>
      </w:r>
      <w:r>
        <w:t xml:space="preserve">understands the body of the text of the Genesis story of creation to express in figurative language profound truths about God’s relation with </w:t>
      </w:r>
      <w:r>
        <w:lastRenderedPageBreak/>
        <w:t>the world.</w:t>
      </w:r>
      <w:r>
        <w:rPr>
          <w:rStyle w:val="FootnoteReference"/>
          <w:rFonts w:eastAsiaTheme="majorEastAsia"/>
        </w:rPr>
        <w:footnoteReference w:id="10"/>
      </w:r>
      <w:r>
        <w:t xml:space="preserve"> The </w:t>
      </w:r>
      <w:r>
        <w:rPr>
          <w:i/>
          <w:iCs/>
        </w:rPr>
        <w:t>Catechism</w:t>
      </w:r>
      <w:r>
        <w:t xml:space="preserve"> reports that before the Fall, the human being is the summit of the Creator’s work, being willed by God to share in His divine life. They (male and female) were created beautiful and good with physical perfection and intellectual qualities. They had free will and were in dialogue with God because they had a special relationship with Him. They shared in and were made in the image and likeness of God - “</w:t>
      </w:r>
      <w:r>
        <w:rPr>
          <w:b/>
          <w:bCs/>
          <w:i/>
          <w:iCs/>
        </w:rPr>
        <w:t>Imago Dei</w:t>
      </w:r>
      <w:r>
        <w:t>”.</w:t>
      </w:r>
      <w:r>
        <w:rPr>
          <w:rStyle w:val="FootnoteReference"/>
          <w:rFonts w:eastAsiaTheme="majorEastAsia"/>
        </w:rPr>
        <w:footnoteReference w:id="11"/>
      </w:r>
      <w:r>
        <w:t xml:space="preserve"> They were given holiness and an inalienable dignity. He set them over all earthly creatures to subdue the earth, not by an arbitrary and destructive domination, but as stewards of God, a responsibility for the world God had entrusted to them.</w:t>
      </w:r>
      <w:r>
        <w:rPr>
          <w:rStyle w:val="FootnoteReference"/>
          <w:rFonts w:eastAsiaTheme="majorEastAsia"/>
        </w:rPr>
        <w:footnoteReference w:id="12"/>
      </w:r>
      <w:r>
        <w:t xml:space="preserve"> He gave them knowledge to help them know and love Him, the Creator.</w:t>
      </w:r>
      <w:r>
        <w:rPr>
          <w:rStyle w:val="FootnoteReference"/>
          <w:rFonts w:eastAsiaTheme="majorEastAsia"/>
        </w:rPr>
        <w:footnoteReference w:id="13"/>
      </w:r>
      <w:r>
        <w:t xml:space="preserve"> They were endowed with a mastery over self and the world</w:t>
      </w:r>
      <w:r>
        <w:rPr>
          <w:rStyle w:val="FootnoteReference"/>
          <w:rFonts w:eastAsiaTheme="majorEastAsia"/>
        </w:rPr>
        <w:footnoteReference w:id="14"/>
      </w:r>
      <w:r>
        <w:t xml:space="preserve"> - without excessive covetousness, self-ambition and sensual abuse.</w:t>
      </w:r>
      <w:r>
        <w:rPr>
          <w:rStyle w:val="FootnoteReference"/>
          <w:rFonts w:eastAsiaTheme="majorEastAsia"/>
        </w:rPr>
        <w:footnoteReference w:id="15"/>
      </w:r>
      <w:r>
        <w:t xml:space="preserve"> They had an interior harmony at once of body (corporeal) and soul (spiritual).</w:t>
      </w:r>
      <w:r>
        <w:rPr>
          <w:rStyle w:val="FootnoteReference"/>
          <w:rFonts w:eastAsiaTheme="majorEastAsia"/>
        </w:rPr>
        <w:footnoteReference w:id="16"/>
      </w:r>
      <w:r>
        <w:t xml:space="preserve"> As the Psalmist intimates: “You have made man little less than a god, and crowned him with glory and honour”.</w:t>
      </w:r>
      <w:r>
        <w:rPr>
          <w:rStyle w:val="FootnoteReference"/>
          <w:rFonts w:eastAsiaTheme="majorEastAsia"/>
        </w:rPr>
        <w:footnoteReference w:id="17"/>
      </w:r>
    </w:p>
    <w:p w14:paraId="6E1262A3" w14:textId="77777777" w:rsidR="007D388D" w:rsidRDefault="007D388D" w:rsidP="007D388D">
      <w:pPr>
        <w:spacing w:line="480" w:lineRule="auto"/>
        <w:jc w:val="both"/>
      </w:pPr>
    </w:p>
    <w:p w14:paraId="525F089D" w14:textId="77777777" w:rsidR="007D388D" w:rsidRDefault="007D388D" w:rsidP="007D388D">
      <w:pPr>
        <w:pStyle w:val="BodyTextIndent"/>
        <w:ind w:firstLine="0"/>
        <w:rPr>
          <w:b/>
          <w:bCs/>
        </w:rPr>
      </w:pPr>
      <w:r>
        <w:rPr>
          <w:b/>
          <w:bCs/>
        </w:rPr>
        <w:t>Man Was Not Created a Solitary Being:</w:t>
      </w:r>
    </w:p>
    <w:p w14:paraId="22DA638D" w14:textId="77777777" w:rsidR="007D388D" w:rsidRDefault="007D388D" w:rsidP="007D388D">
      <w:pPr>
        <w:pStyle w:val="BodyTextIndent"/>
        <w:ind w:firstLine="0"/>
        <w:rPr>
          <w:b/>
          <w:bCs/>
        </w:rPr>
      </w:pPr>
    </w:p>
    <w:p w14:paraId="2F29DD02" w14:textId="77777777" w:rsidR="007D388D" w:rsidRDefault="007D388D" w:rsidP="007D388D">
      <w:pPr>
        <w:spacing w:line="480" w:lineRule="auto"/>
        <w:ind w:firstLine="720"/>
        <w:jc w:val="both"/>
      </w:pPr>
      <w:r>
        <w:t>When God created man He did not create Him to be a solitary being. From the beginning “male and female He created them”.</w:t>
      </w:r>
      <w:r>
        <w:rPr>
          <w:rStyle w:val="FootnoteReference"/>
          <w:rFonts w:eastAsiaTheme="majorEastAsia"/>
        </w:rPr>
        <w:footnoteReference w:id="18"/>
      </w:r>
      <w:r>
        <w:t xml:space="preserve"> The woman was to be a helper, a partner of </w:t>
      </w:r>
      <w:r>
        <w:lastRenderedPageBreak/>
        <w:t>love and communion (friendship) sharing the same humanity.</w:t>
      </w:r>
      <w:r>
        <w:rPr>
          <w:rStyle w:val="FootnoteReference"/>
          <w:rFonts w:eastAsiaTheme="majorEastAsia"/>
        </w:rPr>
        <w:footnoteReference w:id="19"/>
      </w:r>
      <w:r>
        <w:t xml:space="preserve"> They were created in harmony with God, with each other and with creation around them. Theirs is a partnership constituting the first form of communion between persons. They were to co-operate in a unique way in the Creator’s work by “multiplying” and inhabiting the whole earth.</w:t>
      </w:r>
      <w:r>
        <w:rPr>
          <w:rStyle w:val="FootnoteReference"/>
          <w:rFonts w:eastAsiaTheme="majorEastAsia"/>
        </w:rPr>
        <w:footnoteReference w:id="20"/>
      </w:r>
      <w:r>
        <w:t xml:space="preserve"> Human beings were created to be relational beings.</w:t>
      </w:r>
      <w:r>
        <w:rPr>
          <w:rStyle w:val="FootnoteReference"/>
          <w:rFonts w:eastAsiaTheme="majorEastAsia"/>
        </w:rPr>
        <w:footnoteReference w:id="21"/>
      </w:r>
      <w:r>
        <w:t xml:space="preserve"> Our dignity rests on the fact we are called to communion with God. God also willed the interdependence of His creatures, to complete each other, in the service of each other.</w:t>
      </w:r>
      <w:r>
        <w:rPr>
          <w:rStyle w:val="FootnoteReference"/>
          <w:rFonts w:eastAsiaTheme="majorEastAsia"/>
        </w:rPr>
        <w:footnoteReference w:id="22"/>
      </w:r>
    </w:p>
    <w:p w14:paraId="741065D2" w14:textId="77777777" w:rsidR="007D388D" w:rsidRDefault="007D388D" w:rsidP="007D388D">
      <w:pPr>
        <w:spacing w:line="480" w:lineRule="auto"/>
        <w:jc w:val="both"/>
      </w:pPr>
    </w:p>
    <w:p w14:paraId="341F3029" w14:textId="77777777" w:rsidR="007D388D" w:rsidRDefault="007D388D" w:rsidP="007D388D">
      <w:pPr>
        <w:spacing w:line="480" w:lineRule="auto"/>
        <w:ind w:firstLine="720"/>
        <w:jc w:val="both"/>
      </w:pPr>
      <w:r>
        <w:t>We are informed in Genesis that after God had finished creating the world there was a time when “God saw everything that he made, and indeed it was very good.”</w:t>
      </w:r>
      <w:r>
        <w:rPr>
          <w:rStyle w:val="FootnoteReference"/>
          <w:rFonts w:eastAsiaTheme="majorEastAsia"/>
        </w:rPr>
        <w:footnoteReference w:id="23"/>
      </w:r>
      <w:r>
        <w:t xml:space="preserve"> This was a time when there was no evil in the world, a time of perfect harmony and peace, equality and openness. This shows how deeply God approved of the human person and of His world. In summing up, Genesis shows that everything comes from God and is very good. Human beings have a special relationship with God, and because of their interior harmony have a wonderful friendship with each other. So what happened to change this?</w:t>
      </w:r>
    </w:p>
    <w:p w14:paraId="68864F77" w14:textId="77777777" w:rsidR="00BD7716" w:rsidRDefault="00BD7716"/>
    <w:sectPr w:rsidR="00BD77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7DB88" w14:textId="77777777" w:rsidR="00170D37" w:rsidRDefault="00170D37" w:rsidP="007D388D">
      <w:r>
        <w:separator/>
      </w:r>
    </w:p>
  </w:endnote>
  <w:endnote w:type="continuationSeparator" w:id="0">
    <w:p w14:paraId="5A581783" w14:textId="77777777" w:rsidR="00170D37" w:rsidRDefault="00170D37" w:rsidP="007D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oper Black">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27F21" w14:textId="77777777" w:rsidR="00170D37" w:rsidRDefault="00170D37" w:rsidP="007D388D">
      <w:r>
        <w:separator/>
      </w:r>
    </w:p>
  </w:footnote>
  <w:footnote w:type="continuationSeparator" w:id="0">
    <w:p w14:paraId="30E1FC06" w14:textId="77777777" w:rsidR="00170D37" w:rsidRDefault="00170D37" w:rsidP="007D388D">
      <w:r>
        <w:continuationSeparator/>
      </w:r>
    </w:p>
  </w:footnote>
  <w:footnote w:id="1">
    <w:p w14:paraId="2B876CF0" w14:textId="77777777" w:rsidR="007D388D" w:rsidRDefault="007D388D" w:rsidP="007D388D">
      <w:pPr>
        <w:pStyle w:val="FootnoteText"/>
      </w:pPr>
      <w:r>
        <w:rPr>
          <w:rStyle w:val="FootnoteReference"/>
          <w:rFonts w:eastAsiaTheme="majorEastAsia"/>
        </w:rPr>
        <w:footnoteRef/>
      </w:r>
      <w:r>
        <w:t xml:space="preserve"> Cf. </w:t>
      </w:r>
      <w:r>
        <w:rPr>
          <w:i/>
          <w:iCs/>
        </w:rPr>
        <w:t>CCC</w:t>
      </w:r>
      <w:r>
        <w:t xml:space="preserve"> 301.</w:t>
      </w:r>
    </w:p>
  </w:footnote>
  <w:footnote w:id="2">
    <w:p w14:paraId="056AF714" w14:textId="77777777" w:rsidR="007D388D" w:rsidRDefault="007D388D" w:rsidP="007D388D">
      <w:pPr>
        <w:pStyle w:val="FootnoteText"/>
      </w:pPr>
      <w:r>
        <w:rPr>
          <w:rStyle w:val="FootnoteReference"/>
          <w:rFonts w:eastAsiaTheme="majorEastAsia"/>
        </w:rPr>
        <w:footnoteRef/>
      </w:r>
      <w:r>
        <w:t xml:space="preserve"> Cf. Wis 11:24.</w:t>
      </w:r>
    </w:p>
  </w:footnote>
  <w:footnote w:id="3">
    <w:p w14:paraId="73955D1B" w14:textId="77777777" w:rsidR="007D388D" w:rsidRDefault="007D388D" w:rsidP="007D388D">
      <w:pPr>
        <w:pStyle w:val="FootnoteText"/>
      </w:pPr>
      <w:r>
        <w:rPr>
          <w:rStyle w:val="FootnoteReference"/>
          <w:rFonts w:eastAsiaTheme="majorEastAsia"/>
        </w:rPr>
        <w:footnoteRef/>
      </w:r>
      <w:r>
        <w:t xml:space="preserve"> References to human beings loving God (Rom 8:28; 1 Cor 2:9 etc) are few and far between when compared with references that the divine love has for us (see Rom 5:8; 8:37; 2 Cor 9:7; Gal 2:20; Eph 1:4; 5:2; 1 Thess 1:4 etc).</w:t>
      </w:r>
    </w:p>
  </w:footnote>
  <w:footnote w:id="4">
    <w:p w14:paraId="4421C068" w14:textId="77777777" w:rsidR="007D388D" w:rsidRDefault="007D388D" w:rsidP="007D388D">
      <w:pPr>
        <w:pStyle w:val="FootnoteText"/>
      </w:pPr>
      <w:r>
        <w:rPr>
          <w:rStyle w:val="FootnoteReference"/>
          <w:rFonts w:eastAsiaTheme="majorEastAsia"/>
        </w:rPr>
        <w:footnoteRef/>
      </w:r>
      <w:r>
        <w:t xml:space="preserve"> Cf. </w:t>
      </w:r>
      <w:r>
        <w:rPr>
          <w:i/>
          <w:iCs/>
        </w:rPr>
        <w:t>CCC</w:t>
      </w:r>
      <w:r>
        <w:t xml:space="preserve"> 293 &amp; 319.</w:t>
      </w:r>
    </w:p>
  </w:footnote>
  <w:footnote w:id="5">
    <w:p w14:paraId="5DDF2953" w14:textId="77777777" w:rsidR="007D388D" w:rsidRDefault="007D388D" w:rsidP="007D388D">
      <w:pPr>
        <w:pStyle w:val="FootnoteText"/>
      </w:pPr>
      <w:r>
        <w:rPr>
          <w:rStyle w:val="FootnoteReference"/>
          <w:rFonts w:eastAsiaTheme="majorEastAsia"/>
        </w:rPr>
        <w:footnoteRef/>
      </w:r>
      <w:r>
        <w:t xml:space="preserve"> Cf. Gen 1:1; cf. Rom 8:18-23. See </w:t>
      </w:r>
      <w:r>
        <w:rPr>
          <w:i/>
          <w:iCs/>
        </w:rPr>
        <w:t>CCC</w:t>
      </w:r>
      <w:r>
        <w:t xml:space="preserve"> 280.</w:t>
      </w:r>
    </w:p>
  </w:footnote>
  <w:footnote w:id="6">
    <w:p w14:paraId="5541434C" w14:textId="77777777" w:rsidR="007D388D" w:rsidRDefault="007D388D" w:rsidP="007D388D">
      <w:pPr>
        <w:pStyle w:val="FootnoteText"/>
      </w:pPr>
      <w:r>
        <w:rPr>
          <w:rStyle w:val="FootnoteReference"/>
          <w:rFonts w:eastAsiaTheme="majorEastAsia"/>
        </w:rPr>
        <w:footnoteRef/>
      </w:r>
      <w:r>
        <w:t xml:space="preserve"> Cf. Eph 1:4.</w:t>
      </w:r>
    </w:p>
  </w:footnote>
  <w:footnote w:id="7">
    <w:p w14:paraId="43BF94E6" w14:textId="77777777" w:rsidR="007D388D" w:rsidRDefault="007D388D" w:rsidP="007D388D">
      <w:pPr>
        <w:pStyle w:val="FootnoteText"/>
      </w:pPr>
      <w:r>
        <w:rPr>
          <w:rStyle w:val="FootnoteReference"/>
          <w:rFonts w:eastAsiaTheme="majorEastAsia"/>
        </w:rPr>
        <w:footnoteRef/>
      </w:r>
      <w:r>
        <w:t xml:space="preserve"> Aquinas., </w:t>
      </w:r>
      <w:r>
        <w:rPr>
          <w:i/>
          <w:iCs/>
        </w:rPr>
        <w:t>Op.Cit</w:t>
      </w:r>
      <w:r>
        <w:t>, 1a, 47, 1.</w:t>
      </w:r>
    </w:p>
  </w:footnote>
  <w:footnote w:id="8">
    <w:p w14:paraId="27C010AD" w14:textId="77777777" w:rsidR="007D388D" w:rsidRDefault="007D388D" w:rsidP="007D388D">
      <w:pPr>
        <w:pStyle w:val="FootnoteText"/>
      </w:pPr>
      <w:r>
        <w:rPr>
          <w:rStyle w:val="FootnoteReference"/>
          <w:rFonts w:eastAsiaTheme="majorEastAsia"/>
        </w:rPr>
        <w:footnoteRef/>
      </w:r>
      <w:r>
        <w:t xml:space="preserve"> Cf. Second Vatican Ecumenical Council, Dogmatic Constitution on Divine Revelation </w:t>
      </w:r>
      <w:r>
        <w:rPr>
          <w:i/>
          <w:iCs/>
        </w:rPr>
        <w:t>Dei Verbum</w:t>
      </w:r>
      <w:r>
        <w:t xml:space="preserve"> (DV), 6; Cf. </w:t>
      </w:r>
      <w:r>
        <w:rPr>
          <w:i/>
          <w:iCs/>
        </w:rPr>
        <w:t>CCC</w:t>
      </w:r>
      <w:r>
        <w:t xml:space="preserve"> 36.</w:t>
      </w:r>
    </w:p>
  </w:footnote>
  <w:footnote w:id="9">
    <w:p w14:paraId="0E4C7D84" w14:textId="77777777" w:rsidR="007D388D" w:rsidRDefault="007D388D" w:rsidP="007D388D">
      <w:pPr>
        <w:pStyle w:val="FootnoteText"/>
      </w:pPr>
      <w:r>
        <w:rPr>
          <w:rStyle w:val="FootnoteReference"/>
          <w:rFonts w:eastAsiaTheme="majorEastAsia"/>
        </w:rPr>
        <w:footnoteRef/>
      </w:r>
      <w:r>
        <w:t xml:space="preserve"> J. McDade, “Creation and Salvation: Green Faith and Christian Themes”, </w:t>
      </w:r>
      <w:r>
        <w:rPr>
          <w:i/>
          <w:iCs/>
        </w:rPr>
        <w:t>The Month</w:t>
      </w:r>
      <w:r>
        <w:t xml:space="preserve"> (Dublin: The Bemrose Press Ltd, 1994), 433.</w:t>
      </w:r>
    </w:p>
  </w:footnote>
  <w:footnote w:id="10">
    <w:p w14:paraId="2777DB11" w14:textId="77777777" w:rsidR="007D388D" w:rsidRDefault="007D388D" w:rsidP="007D388D">
      <w:pPr>
        <w:pStyle w:val="FootnoteText"/>
      </w:pPr>
      <w:r>
        <w:rPr>
          <w:rStyle w:val="FootnoteReference"/>
          <w:rFonts w:eastAsiaTheme="majorEastAsia"/>
        </w:rPr>
        <w:footnoteRef/>
      </w:r>
      <w:r>
        <w:t xml:space="preserve"> It should be noted that Genesis is recognised as “figurative language” as distinct from a ‘literal’ interpretation of two historical people named Adam and Eve. This allows us to integrate into the story of the beginning of the world some historical basis for the primeval event of Gen 1-3 in the context of Creator-creature interplay without having be a blow-by-blow account. Cf. </w:t>
      </w:r>
      <w:r>
        <w:rPr>
          <w:i/>
          <w:iCs/>
        </w:rPr>
        <w:t>CCC</w:t>
      </w:r>
      <w:r>
        <w:t xml:space="preserve"> 390.</w:t>
      </w:r>
    </w:p>
  </w:footnote>
  <w:footnote w:id="11">
    <w:p w14:paraId="3C1BD1CD" w14:textId="77777777" w:rsidR="007D388D" w:rsidRDefault="007D388D" w:rsidP="007D388D">
      <w:pPr>
        <w:pStyle w:val="FootnoteText"/>
      </w:pPr>
      <w:r>
        <w:rPr>
          <w:rStyle w:val="FootnoteReference"/>
          <w:rFonts w:eastAsiaTheme="majorEastAsia"/>
        </w:rPr>
        <w:footnoteRef/>
      </w:r>
      <w:r>
        <w:t xml:space="preserve"> Cf. Gen 1:26-27; 5:1-3, 9:6. The idea of the </w:t>
      </w:r>
      <w:r>
        <w:rPr>
          <w:b/>
          <w:bCs/>
          <w:i/>
          <w:iCs/>
        </w:rPr>
        <w:t>Imago Dei</w:t>
      </w:r>
      <w:r>
        <w:t xml:space="preserve"> comprises the God-like qualities – intellect and will, with its orientation towards the divine. </w:t>
      </w:r>
      <w:r>
        <w:rPr>
          <w:i/>
          <w:iCs/>
        </w:rPr>
        <w:t>Image</w:t>
      </w:r>
      <w:r>
        <w:t xml:space="preserve"> is the Hebrew word </w:t>
      </w:r>
      <w:r>
        <w:rPr>
          <w:i/>
          <w:iCs/>
        </w:rPr>
        <w:t>selem</w:t>
      </w:r>
      <w:r>
        <w:t xml:space="preserve"> which refers to a concrete (physical) image. It is an accurate representation of God. </w:t>
      </w:r>
      <w:r>
        <w:rPr>
          <w:i/>
          <w:iCs/>
        </w:rPr>
        <w:t>Likeness</w:t>
      </w:r>
      <w:r>
        <w:t xml:space="preserve"> is the Hebrew </w:t>
      </w:r>
      <w:r>
        <w:rPr>
          <w:i/>
          <w:iCs/>
        </w:rPr>
        <w:t>demut</w:t>
      </w:r>
      <w:r>
        <w:t xml:space="preserve"> and is used when something is like something else in a more abstract rather than concrete way. It refers to more than an external resemblance, something at a deeper level between God and the human person. Scullion, </w:t>
      </w:r>
      <w:r>
        <w:rPr>
          <w:i/>
          <w:iCs/>
        </w:rPr>
        <w:t>Original Sin</w:t>
      </w:r>
      <w:r>
        <w:t>, 14.</w:t>
      </w:r>
    </w:p>
  </w:footnote>
  <w:footnote w:id="12">
    <w:p w14:paraId="124C68E9" w14:textId="77777777" w:rsidR="007D388D" w:rsidRDefault="007D388D" w:rsidP="007D388D">
      <w:pPr>
        <w:pStyle w:val="FootnoteText"/>
      </w:pPr>
      <w:r>
        <w:rPr>
          <w:rStyle w:val="FootnoteReference"/>
          <w:rFonts w:eastAsiaTheme="majorEastAsia"/>
        </w:rPr>
        <w:footnoteRef/>
      </w:r>
      <w:r>
        <w:t xml:space="preserve"> Cf. Gen 1:28.</w:t>
      </w:r>
    </w:p>
  </w:footnote>
  <w:footnote w:id="13">
    <w:p w14:paraId="18617868" w14:textId="77777777" w:rsidR="007D388D" w:rsidRDefault="007D388D" w:rsidP="007D388D">
      <w:pPr>
        <w:pStyle w:val="FootnoteText"/>
      </w:pPr>
      <w:r>
        <w:rPr>
          <w:rStyle w:val="FootnoteReference"/>
          <w:rFonts w:eastAsiaTheme="majorEastAsia"/>
        </w:rPr>
        <w:footnoteRef/>
      </w:r>
      <w:r>
        <w:t xml:space="preserve"> Cf. Gen 1:11-13. Cf. </w:t>
      </w:r>
      <w:r>
        <w:rPr>
          <w:i/>
          <w:iCs/>
        </w:rPr>
        <w:t>CCC</w:t>
      </w:r>
      <w:r>
        <w:t xml:space="preserve"> 369, 374-384.</w:t>
      </w:r>
    </w:p>
  </w:footnote>
  <w:footnote w:id="14">
    <w:p w14:paraId="6E54E560" w14:textId="77777777" w:rsidR="007D388D" w:rsidRDefault="007D388D" w:rsidP="007D388D">
      <w:pPr>
        <w:pStyle w:val="FootnoteText"/>
      </w:pPr>
      <w:r>
        <w:rPr>
          <w:rStyle w:val="FootnoteReference"/>
          <w:rFonts w:eastAsiaTheme="majorEastAsia"/>
        </w:rPr>
        <w:footnoteRef/>
      </w:r>
      <w:r>
        <w:t xml:space="preserve"> Cf. Gen 31:33; Is 40:28.</w:t>
      </w:r>
    </w:p>
  </w:footnote>
  <w:footnote w:id="15">
    <w:p w14:paraId="49F08B89" w14:textId="77777777" w:rsidR="007D388D" w:rsidRDefault="007D388D" w:rsidP="007D388D">
      <w:pPr>
        <w:pStyle w:val="FootnoteText"/>
      </w:pPr>
      <w:r>
        <w:rPr>
          <w:rStyle w:val="FootnoteReference"/>
          <w:rFonts w:eastAsiaTheme="majorEastAsia"/>
        </w:rPr>
        <w:footnoteRef/>
      </w:r>
      <w:r>
        <w:t xml:space="preserve"> Murphy-O’Connor,</w:t>
      </w:r>
      <w:r>
        <w:rPr>
          <w:i/>
          <w:iCs/>
        </w:rPr>
        <w:t xml:space="preserve"> Becoming Human Together</w:t>
      </w:r>
      <w:r>
        <w:t>, 40-45.</w:t>
      </w:r>
    </w:p>
  </w:footnote>
  <w:footnote w:id="16">
    <w:p w14:paraId="2C25E3C2" w14:textId="77777777" w:rsidR="007D388D" w:rsidRDefault="007D388D" w:rsidP="007D388D">
      <w:r>
        <w:rPr>
          <w:rStyle w:val="FootnoteReference"/>
          <w:rFonts w:eastAsiaTheme="majorEastAsia"/>
          <w:sz w:val="20"/>
        </w:rPr>
        <w:footnoteRef/>
      </w:r>
      <w:r>
        <w:rPr>
          <w:sz w:val="20"/>
        </w:rPr>
        <w:t xml:space="preserve"> </w:t>
      </w:r>
      <w:r>
        <w:rPr>
          <w:sz w:val="20"/>
          <w:szCs w:val="20"/>
        </w:rPr>
        <w:t xml:space="preserve">The human body, which God will raise up on the last day, is animated by a spiritual soul. Cf. 1 Cor 6:19-20, 15:44-45. See also </w:t>
      </w:r>
      <w:r>
        <w:rPr>
          <w:i/>
          <w:iCs/>
          <w:sz w:val="20"/>
          <w:szCs w:val="20"/>
        </w:rPr>
        <w:t>GS</w:t>
      </w:r>
      <w:r>
        <w:rPr>
          <w:sz w:val="20"/>
          <w:szCs w:val="20"/>
        </w:rPr>
        <w:t xml:space="preserve"> 14 § 1 and </w:t>
      </w:r>
      <w:r>
        <w:rPr>
          <w:i/>
          <w:iCs/>
          <w:sz w:val="20"/>
          <w:szCs w:val="20"/>
        </w:rPr>
        <w:t>CCC</w:t>
      </w:r>
      <w:r>
        <w:rPr>
          <w:sz w:val="20"/>
          <w:szCs w:val="20"/>
        </w:rPr>
        <w:t xml:space="preserve"> 232-33. In Sacred Scripture, the term ‘soul’ often refers to human life or the entire human person. But ‘soul’ also refers to the innermost aspect of the person, that which is of greatest value in him/her. It is that by which s/he is most especially in God’s image. It signifies the spiritual principle in the human person. Cf. Mt 16:25-26, 10:28, 26:38; Jn 15:13, 12:27; Acts 2:41; </w:t>
      </w:r>
      <w:r>
        <w:rPr>
          <w:i/>
          <w:iCs/>
          <w:sz w:val="20"/>
          <w:szCs w:val="20"/>
        </w:rPr>
        <w:t>CCC</w:t>
      </w:r>
      <w:r>
        <w:rPr>
          <w:sz w:val="20"/>
          <w:szCs w:val="20"/>
        </w:rPr>
        <w:t xml:space="preserve"> 362-63.</w:t>
      </w:r>
    </w:p>
  </w:footnote>
  <w:footnote w:id="17">
    <w:p w14:paraId="449F4CE9" w14:textId="77777777" w:rsidR="007D388D" w:rsidRDefault="007D388D" w:rsidP="007D388D">
      <w:pPr>
        <w:pStyle w:val="FootnoteText"/>
      </w:pPr>
      <w:r>
        <w:rPr>
          <w:rStyle w:val="FootnoteReference"/>
          <w:rFonts w:eastAsiaTheme="majorEastAsia"/>
        </w:rPr>
        <w:footnoteRef/>
      </w:r>
      <w:r>
        <w:t xml:space="preserve"> Ps 8:5ff.</w:t>
      </w:r>
    </w:p>
  </w:footnote>
  <w:footnote w:id="18">
    <w:p w14:paraId="2E5672C4" w14:textId="77777777" w:rsidR="007D388D" w:rsidRDefault="007D388D" w:rsidP="007D388D">
      <w:pPr>
        <w:pStyle w:val="FootnoteText"/>
      </w:pPr>
      <w:r>
        <w:rPr>
          <w:rStyle w:val="FootnoteReference"/>
          <w:rFonts w:eastAsiaTheme="majorEastAsia"/>
        </w:rPr>
        <w:footnoteRef/>
      </w:r>
      <w:r>
        <w:t xml:space="preserve"> Cf. Gen 1:27.</w:t>
      </w:r>
    </w:p>
  </w:footnote>
  <w:footnote w:id="19">
    <w:p w14:paraId="457DA72A" w14:textId="77777777" w:rsidR="007D388D" w:rsidRDefault="007D388D" w:rsidP="007D388D">
      <w:pPr>
        <w:pStyle w:val="FootnoteText"/>
      </w:pPr>
      <w:r>
        <w:rPr>
          <w:rStyle w:val="FootnoteReference"/>
          <w:rFonts w:eastAsiaTheme="majorEastAsia"/>
        </w:rPr>
        <w:footnoteRef/>
      </w:r>
      <w:r>
        <w:t xml:space="preserve"> Cf. Gen 2:23.</w:t>
      </w:r>
    </w:p>
  </w:footnote>
  <w:footnote w:id="20">
    <w:p w14:paraId="0082C78F" w14:textId="77777777" w:rsidR="007D388D" w:rsidRDefault="007D388D" w:rsidP="007D388D">
      <w:pPr>
        <w:pStyle w:val="FootnoteText"/>
      </w:pPr>
      <w:r>
        <w:rPr>
          <w:rStyle w:val="FootnoteReference"/>
          <w:rFonts w:eastAsiaTheme="majorEastAsia"/>
        </w:rPr>
        <w:footnoteRef/>
      </w:r>
      <w:r>
        <w:t xml:space="preserve"> Cf. </w:t>
      </w:r>
      <w:r>
        <w:rPr>
          <w:i/>
          <w:iCs/>
        </w:rPr>
        <w:t>CCC</w:t>
      </w:r>
      <w:r>
        <w:t xml:space="preserve"> 360, 372.</w:t>
      </w:r>
    </w:p>
  </w:footnote>
  <w:footnote w:id="21">
    <w:p w14:paraId="342E6F80" w14:textId="77777777" w:rsidR="007D388D" w:rsidRDefault="007D388D" w:rsidP="007D388D">
      <w:pPr>
        <w:pStyle w:val="FootnoteText"/>
      </w:pPr>
      <w:r>
        <w:rPr>
          <w:rStyle w:val="FootnoteReference"/>
          <w:rFonts w:eastAsiaTheme="majorEastAsia"/>
        </w:rPr>
        <w:footnoteRef/>
      </w:r>
      <w:r>
        <w:t xml:space="preserve"> Cf. Gen 2:18.</w:t>
      </w:r>
    </w:p>
  </w:footnote>
  <w:footnote w:id="22">
    <w:p w14:paraId="74783DF7" w14:textId="77777777" w:rsidR="007D388D" w:rsidRDefault="007D388D" w:rsidP="007D388D">
      <w:pPr>
        <w:pStyle w:val="FootnoteText"/>
      </w:pPr>
      <w:r>
        <w:rPr>
          <w:rStyle w:val="FootnoteReference"/>
          <w:rFonts w:eastAsiaTheme="majorEastAsia"/>
        </w:rPr>
        <w:footnoteRef/>
      </w:r>
      <w:r>
        <w:t xml:space="preserve"> </w:t>
      </w:r>
      <w:r>
        <w:rPr>
          <w:i/>
          <w:iCs/>
        </w:rPr>
        <w:t>Ibid</w:t>
      </w:r>
      <w:r>
        <w:t>, 340.</w:t>
      </w:r>
    </w:p>
  </w:footnote>
  <w:footnote w:id="23">
    <w:p w14:paraId="43EE287A" w14:textId="77777777" w:rsidR="007D388D" w:rsidRDefault="007D388D" w:rsidP="007D388D">
      <w:pPr>
        <w:pStyle w:val="FootnoteText"/>
      </w:pPr>
      <w:r>
        <w:rPr>
          <w:rStyle w:val="FootnoteReference"/>
          <w:rFonts w:eastAsiaTheme="majorEastAsia"/>
        </w:rPr>
        <w:footnoteRef/>
      </w:r>
      <w:r>
        <w:t xml:space="preserve"> Cf. Gen 1:31.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8D"/>
    <w:rsid w:val="000B0680"/>
    <w:rsid w:val="000C24D4"/>
    <w:rsid w:val="00170D37"/>
    <w:rsid w:val="004E3AF4"/>
    <w:rsid w:val="00545A35"/>
    <w:rsid w:val="007D388D"/>
    <w:rsid w:val="009513A9"/>
    <w:rsid w:val="009E4F7D"/>
    <w:rsid w:val="00BD7716"/>
    <w:rsid w:val="00D474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F38F"/>
  <w15:chartTrackingRefBased/>
  <w15:docId w15:val="{3BD5E1AE-75BA-47ED-9E7C-4DA3CB2F0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88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D388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D388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D388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nhideWhenUsed/>
    <w:qFormat/>
    <w:rsid w:val="007D388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D388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D388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D388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D388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D388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D3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88D"/>
    <w:rPr>
      <w:rFonts w:eastAsiaTheme="majorEastAsia" w:cstheme="majorBidi"/>
      <w:color w:val="272727" w:themeColor="text1" w:themeTint="D8"/>
    </w:rPr>
  </w:style>
  <w:style w:type="paragraph" w:styleId="Title">
    <w:name w:val="Title"/>
    <w:basedOn w:val="Normal"/>
    <w:next w:val="Normal"/>
    <w:link w:val="TitleChar"/>
    <w:uiPriority w:val="10"/>
    <w:qFormat/>
    <w:rsid w:val="007D388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D3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88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D3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88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D388D"/>
    <w:rPr>
      <w:i/>
      <w:iCs/>
      <w:color w:val="404040" w:themeColor="text1" w:themeTint="BF"/>
    </w:rPr>
  </w:style>
  <w:style w:type="paragraph" w:styleId="ListParagraph">
    <w:name w:val="List Paragraph"/>
    <w:basedOn w:val="Normal"/>
    <w:uiPriority w:val="34"/>
    <w:qFormat/>
    <w:rsid w:val="007D388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D388D"/>
    <w:rPr>
      <w:i/>
      <w:iCs/>
      <w:color w:val="0F4761" w:themeColor="accent1" w:themeShade="BF"/>
    </w:rPr>
  </w:style>
  <w:style w:type="paragraph" w:styleId="IntenseQuote">
    <w:name w:val="Intense Quote"/>
    <w:basedOn w:val="Normal"/>
    <w:next w:val="Normal"/>
    <w:link w:val="IntenseQuoteChar"/>
    <w:uiPriority w:val="30"/>
    <w:qFormat/>
    <w:rsid w:val="007D388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D388D"/>
    <w:rPr>
      <w:i/>
      <w:iCs/>
      <w:color w:val="0F4761" w:themeColor="accent1" w:themeShade="BF"/>
    </w:rPr>
  </w:style>
  <w:style w:type="character" w:styleId="IntenseReference">
    <w:name w:val="Intense Reference"/>
    <w:basedOn w:val="DefaultParagraphFont"/>
    <w:uiPriority w:val="32"/>
    <w:qFormat/>
    <w:rsid w:val="007D388D"/>
    <w:rPr>
      <w:b/>
      <w:bCs/>
      <w:smallCaps/>
      <w:color w:val="0F4761" w:themeColor="accent1" w:themeShade="BF"/>
      <w:spacing w:val="5"/>
    </w:rPr>
  </w:style>
  <w:style w:type="paragraph" w:styleId="FootnoteText">
    <w:name w:val="footnote text"/>
    <w:basedOn w:val="Normal"/>
    <w:link w:val="FootnoteTextChar"/>
    <w:semiHidden/>
    <w:rsid w:val="007D388D"/>
    <w:rPr>
      <w:sz w:val="20"/>
      <w:szCs w:val="20"/>
    </w:rPr>
  </w:style>
  <w:style w:type="character" w:customStyle="1" w:styleId="FootnoteTextChar">
    <w:name w:val="Footnote Text Char"/>
    <w:basedOn w:val="DefaultParagraphFont"/>
    <w:link w:val="FootnoteText"/>
    <w:semiHidden/>
    <w:rsid w:val="007D388D"/>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rsid w:val="007D388D"/>
    <w:rPr>
      <w:vertAlign w:val="superscript"/>
    </w:rPr>
  </w:style>
  <w:style w:type="paragraph" w:styleId="BodyTextIndent">
    <w:name w:val="Body Text Indent"/>
    <w:basedOn w:val="Normal"/>
    <w:link w:val="BodyTextIndentChar"/>
    <w:semiHidden/>
    <w:rsid w:val="007D388D"/>
    <w:pPr>
      <w:ind w:firstLine="720"/>
      <w:jc w:val="both"/>
    </w:pPr>
  </w:style>
  <w:style w:type="character" w:customStyle="1" w:styleId="BodyTextIndentChar">
    <w:name w:val="Body Text Indent Char"/>
    <w:basedOn w:val="DefaultParagraphFont"/>
    <w:link w:val="BodyTextIndent"/>
    <w:semiHidden/>
    <w:rsid w:val="007D388D"/>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2025-11-03T18:23:00Z</dcterms:created>
  <dcterms:modified xsi:type="dcterms:W3CDTF">2025-11-03T19:40:00Z</dcterms:modified>
</cp:coreProperties>
</file>