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3BACF" w14:textId="011634D9" w:rsidR="008C5068" w:rsidRDefault="00674058">
      <w:r>
        <w:t xml:space="preserve">ORIGIN OF </w:t>
      </w:r>
      <w:r w:rsidR="008C5068">
        <w:t>LIFE</w:t>
      </w:r>
    </w:p>
    <w:p w14:paraId="6A72BC87" w14:textId="2AC509F7" w:rsidR="00BD7716" w:rsidRDefault="00674058">
      <w:r>
        <w:t xml:space="preserve">Theories of how life originated on Earth are of two sorts. Biogenetic theories hold that living things always arise through the agency of preexisting organisms. </w:t>
      </w:r>
      <w:proofErr w:type="spellStart"/>
      <w:r>
        <w:t>Abiogenetic</w:t>
      </w:r>
      <w:proofErr w:type="spellEnd"/>
      <w:r>
        <w:t xml:space="preserve"> theories hold that living things arise from inanimate sources. Spontaneous generation, an </w:t>
      </w:r>
      <w:proofErr w:type="spellStart"/>
      <w:r>
        <w:t>abiogenetic</w:t>
      </w:r>
      <w:proofErr w:type="spellEnd"/>
      <w:r>
        <w:t xml:space="preserve"> theory, postulates the origin of lower plants and animals from the slime of Earth and microorganisms from nutrient broth. </w:t>
      </w:r>
      <w:proofErr w:type="spellStart"/>
      <w:r>
        <w:t>Biopoesis</w:t>
      </w:r>
      <w:proofErr w:type="spellEnd"/>
      <w:r>
        <w:t xml:space="preserve"> holds that only the first living form or forms arose in the remote past from inorganic matter by spontaneous generation. This article will review some of the theories of how life may have arisen on Earth and consider the philosophical problems associated with them. These theories can be categorized under the headings of spontaneous generation, </w:t>
      </w:r>
      <w:proofErr w:type="spellStart"/>
      <w:r>
        <w:t>cosmozoic</w:t>
      </w:r>
      <w:proofErr w:type="spellEnd"/>
      <w:r>
        <w:t xml:space="preserve"> processes, creation, and </w:t>
      </w:r>
      <w:proofErr w:type="spellStart"/>
      <w:r>
        <w:t>biopoesis</w:t>
      </w:r>
      <w:proofErr w:type="spellEnd"/>
      <w:r>
        <w:t xml:space="preserve">. Spontaneous Generation. Until the mid-17th century it was generally held that living things could arise spontaneously, as well as by sexual or nonsexual repro duction. In 1668 Francesco Redi provided experimental evidence that maggots thought to be spontaneously generated had actually been produced from the eggs of adult flies. Redi put a snake, eels, a slice of veal, and some fish into two sets of four large, wide-mouthed flasks, covered one set of jars with fine gauze, and left the other set open. Flies entered and left the open jars, and maggots soon appeared in them. No maggots were discovered in the covered jars, although a few fly deposits and maggots appeared on the gauze cover. Redi noticed that the adult f lies that finally emerged were like those crawling on the meat before the appearance of the maggots. Redi’s experiments discouraged belief in the spontaneous generation not only of maggots, but of macroscopic animals and plants in general. In the 18th century the controversy over spontaneous generation was reopened when Anton van Leeuwenhoek made a number of important discoveries about microorganisms using a microscope. An Italian abbot, L. Spallanzani, performed hundreds of experiments to show that no animalcules appeared when nutrient broth was heated in phials and sealed off from the air. The English Jesuit John Turberville countered that Spallanzani had heated his </w:t>
      </w:r>
      <w:proofErr w:type="spellStart"/>
      <w:r>
        <w:t>liq</w:t>
      </w:r>
      <w:proofErr w:type="spellEnd"/>
      <w:r>
        <w:t xml:space="preserve"> </w:t>
      </w:r>
      <w:proofErr w:type="spellStart"/>
      <w:r>
        <w:t>uids</w:t>
      </w:r>
      <w:proofErr w:type="spellEnd"/>
      <w:r>
        <w:t xml:space="preserve"> too vigorously and had in this way destroyed the ‘‘vital force’’ of the infusions and of the air in the sealed container. In the 1860s Louis Pasteur ended the debate over whether or not microorganisms developed de novo without parents in nutrient solutions. After heating flasks of nutrient materials to the boiling point, he sealed off the necks of some and drew the necks of others out into an S-shaped curve and left them open to the air. In the cases where he sealed the portals of entry no microorganisms appeared, whereas in the open flasks the microorganisms were trapped in the moisture in the S-shaped necks. As a result of Pasteur’s experiments many biologists ruled out spontaneous generation as a theory of the origin of life. </w:t>
      </w:r>
      <w:proofErr w:type="spellStart"/>
      <w:r>
        <w:t>Omnevivum</w:t>
      </w:r>
      <w:proofErr w:type="spellEnd"/>
      <w:r>
        <w:t xml:space="preserve"> e vivo became the accepted dictum: yet this did not preclude the possibility of life’s having arisen spontaneously in the remote past. </w:t>
      </w:r>
      <w:proofErr w:type="spellStart"/>
      <w:r>
        <w:t>Cosmozoic</w:t>
      </w:r>
      <w:proofErr w:type="spellEnd"/>
      <w:r>
        <w:t xml:space="preserve"> Processes. H. von Helmholtz and Lord Kelvin were among the scientists who speculated that vi able spores floating through interstellar space may have accidentally seeded life on Earth when conditions were favorable. Adherents of </w:t>
      </w:r>
      <w:r>
        <w:lastRenderedPageBreak/>
        <w:t xml:space="preserve">this theory held that life, like matter, is eternal. Therefore, it was not the origin of life that needed explanation, but the passage of the seeds of life from one planet to another. Helmholtz postulated that live germs were brought to Earth in meteorites. In 1908 S. A. Arrhenius published a similar theory, known as panspermia, which included careful calculations of the pressure of the Sun’s rays acting on live germs to bring them to Earth. At the beginning of the 21st century, the </w:t>
      </w:r>
      <w:proofErr w:type="spellStart"/>
      <w:r>
        <w:t>cosmozoic</w:t>
      </w:r>
      <w:proofErr w:type="spellEnd"/>
      <w:r>
        <w:t xml:space="preserve"> theory draws mixed reactions from scientists. Those in favor of it, such as Francis Crick, point to the rapidity with which life arose on Earth. Earth is approximately 4.6 billion years old. The earliest fossils currently known are 3.5 billion years old, and life is thought to have originated around 3.8 billion years ago. Until about 3.9 billion years ago Earth was bombarded by meteorites, which in some cases may have been large enough to sterilize Earth’s sur face to the depth of several kilometers. The numerous chemical reactions needed for the first living thing to form on Earth seem incompatible with so short a period. Other scientists, however, think that there may have be more time available than is generally assumed. Their claim is that life may not have had to wait until Earth ceased to be </w:t>
      </w:r>
      <w:r w:rsidR="008C5068">
        <w:t>bombarded</w:t>
      </w:r>
      <w:r>
        <w:t xml:space="preserve">, but may have arisen deep in the subsurface of Earth. Also, it is far from certain that life could not have arisen more quickly than is generally supposed. Thus panspermia does not seem to be the only option. Another objection to panspermia is that the extreme cold, the absence of moisture and oxygen, the intense ultraviolet radiation, and the vast interstellar and interplanetary distances to be </w:t>
      </w:r>
      <w:proofErr w:type="spellStart"/>
      <w:r>
        <w:t>traveled</w:t>
      </w:r>
      <w:proofErr w:type="spellEnd"/>
      <w:r>
        <w:t xml:space="preserve"> make the passage of highly organized living things through space virtually impossible. On the other hand, it must be noted that life forms such as bacteria are amazingly resistant to extreme conditions. For example, </w:t>
      </w:r>
      <w:proofErr w:type="spellStart"/>
      <w:r>
        <w:t>Deinococcus</w:t>
      </w:r>
      <w:proofErr w:type="spellEnd"/>
      <w:r>
        <w:t xml:space="preserve"> </w:t>
      </w:r>
      <w:proofErr w:type="spellStart"/>
      <w:r>
        <w:t>radiodurans</w:t>
      </w:r>
      <w:proofErr w:type="spellEnd"/>
      <w:r>
        <w:t xml:space="preserve"> is able to resist 3,000 times the dose of radiation lethal to humans. Bacteria inside a camara left on the Moon were found to still be alive two-and-a-half years later despite the absence of atmosphere on the Moon. Still, proponents of panspermia fail to explain what it is about sites in the universe other than Earth such that one would have rea son to believe that life began elsewhere. Panspermia does not solve the problem of the origin of life; it merely lo cates the origin on another planet or in space, and leaves the question unsolved. At present it is debated whether definite traces of living things have been found in meteor </w:t>
      </w:r>
      <w:proofErr w:type="spellStart"/>
      <w:r>
        <w:t>ites</w:t>
      </w:r>
      <w:proofErr w:type="spellEnd"/>
      <w:r>
        <w:t>. Some of the apparent trace fossils in the meteorites examined were ultimately determined to be earthly contaminants (e.g., in the 1969 Murchison meteorite). Examination of meteorite ALH84001 and other Martian meteorites, however, has led some researchers to conclude that the features observed are best explained as bio genic in origin. Creation. The author of the book of Genesis states that God created the heavens and the earth and that God then said, ‘‘Let the earth bring forth vegetation: seed bearing plants and all kinds of fruit trees that bear fruit containing their seed’’ (</w:t>
      </w:r>
      <w:proofErr w:type="spellStart"/>
      <w:r>
        <w:t>Gn</w:t>
      </w:r>
      <w:proofErr w:type="spellEnd"/>
      <w:r>
        <w:t xml:space="preserve"> 1.11–12). St. AUGUSTINE interprets Genesis to mean that God created animals and plants only virtually, in the sense that the earth was given the power to bring forth living things in time. Although this idea concurs with modern evolutionary theories, Scripture’s purpose is not to pass judgment on scientific theories of the universe. The sacred writer </w:t>
      </w:r>
      <w:r>
        <w:lastRenderedPageBreak/>
        <w:t xml:space="preserve">teaches only that a transcendent God called the cosmos into being and set man, made in His own image and likeness, over visible creation.  Theories of </w:t>
      </w:r>
      <w:proofErr w:type="spellStart"/>
      <w:r>
        <w:t>biopoesis</w:t>
      </w:r>
      <w:proofErr w:type="spellEnd"/>
      <w:r>
        <w:t xml:space="preserve"> attempt to explain how the first living things evolved naturally from inorganic matter. There is perhaps no other area of investigation in biology in which the words ‘‘conjectural,’’ ‘‘speculative,’’ and ‘‘as yet lacking experimental support’’ come up so frequently. Despite great advances in biology we remain ignorant of many aspects of the pro cesses carried on by extant living things, and thus it is not surprising that we experience difficulties in explaining the origin of life processes in organisms that may be </w:t>
      </w:r>
      <w:proofErr w:type="spellStart"/>
      <w:r>
        <w:t>dif</w:t>
      </w:r>
      <w:proofErr w:type="spellEnd"/>
      <w:r>
        <w:t xml:space="preserve"> </w:t>
      </w:r>
      <w:proofErr w:type="spellStart"/>
      <w:r>
        <w:t>ferent</w:t>
      </w:r>
      <w:proofErr w:type="spellEnd"/>
      <w:r>
        <w:t xml:space="preserve"> from those we can observe. Compounding this difficulty is our lack of certitude regarding the conditions of early Earth at the time that life originated. One of the earliest theories of the origin of life was that of A. I. Oparin. In 1924 Oparin theorized that the complex properties of living things arose in the natural process of the evolution of matter. In his view, large amounts of complex organic compounds in the oceans of primitive Earth reacted to form yet more complex molecules until one or more evolved that could be designated as alive. Oparin later showed that by mixing solutions of different proteins and other substances of high molecular weight he could produce coacervate droplets that readily adsorb organic substances from the surrounding medium. He proposed that the first primitive cells may have been much like these coacervate droplets. J. B. S. Haldane speculated (1926) that ultraviolet light acting on a mixture of water, carbon dioxide, and ammonia could produce a wide variety of organic compounds in the primitive oceans. If the first living things were formed in such a medium, the nutrient material there would sustain them. In the 1950s, experimental work to establish the possibility of a </w:t>
      </w:r>
      <w:proofErr w:type="spellStart"/>
      <w:r>
        <w:t>prebiological</w:t>
      </w:r>
      <w:proofErr w:type="spellEnd"/>
      <w:r>
        <w:t xml:space="preserve"> formation of ‘‘building blocks’’ for living things originated in the laboratories of Melvin Calvin of the University of California and of Harold Urey at the University of Chicago. Calvin and his associates treated carbon dioxide and water in a cyclotron and produced formaldehyde and formic acid. S. L. Miller, a student of Urey, then exposed a mixture of water vapor, methane, ammonia, and hydrogen—gases believed to have been present on primitive Earth—to a silent electric discharge for a few days. Analysis of the results by the method of paper chromatography revealed a mixture of amino acids, several of which are essential components of proteins. By heating concentrated solutions of hydrogen cyanide in aqueous ammonia for several days, J. </w:t>
      </w:r>
      <w:proofErr w:type="spellStart"/>
      <w:r>
        <w:t>Oró</w:t>
      </w:r>
      <w:proofErr w:type="spellEnd"/>
      <w:r>
        <w:t xml:space="preserve"> was able to produce adenine, an essential building block of nucleic acids. C. </w:t>
      </w:r>
      <w:proofErr w:type="spellStart"/>
      <w:r>
        <w:t>Ponnamperuma</w:t>
      </w:r>
      <w:proofErr w:type="spellEnd"/>
      <w:r>
        <w:t xml:space="preserve"> exposed to ultraviolet light a dilute solution of hydrogen cyanide and produced guanine as well as adenine, the only purines found in RNA (ribonucleic acid) and DNA (deoxyribonucleic acid). One problem with these experiments that produce amino acids abiotically is that they require reducing conditions in order to work. Many scientists no longer think that the atmosphere of early Earth at the time that life is thought to have appeared was a reducing atmosphere. Banded iron formations have been found as far back as the Archean, and it is thought that they could not have formed under reducing conditions. There are other lines of evidence as well pointing to a neutral rather than a reducing atmosphere. Some </w:t>
      </w:r>
      <w:r>
        <w:lastRenderedPageBreak/>
        <w:t xml:space="preserve">scientists remain unconvinced by this evidence and hold to a Miller-type scenario. Oth </w:t>
      </w:r>
      <w:proofErr w:type="spellStart"/>
      <w:r>
        <w:t>ers</w:t>
      </w:r>
      <w:proofErr w:type="spellEnd"/>
      <w:r>
        <w:t xml:space="preserve"> turn to outer space as a source of life’s building blocks. Ninety different amino acids have been discovered in meteorites, eight of which belong to the set of 20 that are found in organisms on Earth. Meteorites including microscopic ones called micrometeorites may have deposited a substantial amount of organic material on early Earth’s surface. Comets and cosmic dust clouds that early Earth passed through may also have been other significant sources of organic materials. Among those who think that the building blocks of life had a terrestrial source, some suggest that they were formed at other sites on Earth other than its surface, namely, in thermal vents in the ocean floor that provide a reducing environment. Yet other scientists suggest a hot environment even deeper in Earth’s crust. Still others propose a cold environment, because high temperature tends to break down protein, nucleic acids, and many of their building blocks. In short, theories abound and there is no consensus. Even if there were a plausible explanation for how the building blocks of life were generated, there still would remain the question of how they became assembled into the more complex units, the proteins and nucleic acids that are found in even the simplest life forms. A ‘‘chicken and egg problem’’ arises here: in cells amino acids are assembled into proteins on ribosomes following instructions on mRNA that was copied from DNA. Thus to get proteins it seems that there has to be DNA. Nevertheless, in order for the DNA to be transcribed into RNA one needs proteins (proteins are also need for DNA replication). A number of approaches have been taken to get around this problem. One is to say that originally proteins were assembled by some other means. Sidney Fox had some success in forming protein</w:t>
      </w:r>
      <w:r w:rsidR="00580238">
        <w:t>-</w:t>
      </w:r>
      <w:r>
        <w:t>like polypeptides under anhydrous conditions in vitro. With carefully controlled conditions of temperature and hydration he produced protein</w:t>
      </w:r>
      <w:r w:rsidR="00877682">
        <w:t>-</w:t>
      </w:r>
      <w:r>
        <w:t xml:space="preserve">like polymers. The majority of origin of life scientists, however, remain unimpressed, and some find Fox’s proteinoids to be more like gunk than proteins. Freeman Dyson is also of the view that proteins arose first, followed by cells that carried on metabolism and reproduced without any genet </w:t>
      </w:r>
      <w:proofErr w:type="spellStart"/>
      <w:r>
        <w:t>ic</w:t>
      </w:r>
      <w:proofErr w:type="spellEnd"/>
      <w:r>
        <w:t xml:space="preserve"> material, but simply by breaking in two. Nucleic acids arose independently, and eventually came together with these cells, eventually directing their replication. This gets around the chicken and egg problem, but the questions remain as to how proteins and nucleic acids arose without each other, and then how the two got working together in so highly an orchestrated manner. There are other current theories of abiotic protein formation, such as the thioester hypothesis advanced by Christian De Duve, but even their own authors regards them as speculative. Another group of scientists holds that proteins did not come first, but rather RNA did. This theory gained popularity when it was discovered that certain forms of RNA can self-replicate as well as </w:t>
      </w:r>
      <w:proofErr w:type="spellStart"/>
      <w:r>
        <w:t>catalyze</w:t>
      </w:r>
      <w:proofErr w:type="spellEnd"/>
      <w:r>
        <w:t xml:space="preserve"> other reactions. This seemed to offer a way out of the protein nucleic acid dilemma. Recently, however, much of the initial enthusiasm for this theory has been lost, largely because of the failure to discover a way that RNA could be synthesized under plausible abiotic conditions, and because of RNA’s instability. A further question remains as to how these larger units (proteins, nucleic acids) are assembled into cells. Oparin formed </w:t>
      </w:r>
      <w:proofErr w:type="spellStart"/>
      <w:r>
        <w:lastRenderedPageBreak/>
        <w:t>coascervate</w:t>
      </w:r>
      <w:proofErr w:type="spellEnd"/>
      <w:r>
        <w:t xml:space="preserve"> droplets by shaking a mixture of large protein and a polysaccharide. These droplets di vide into an interior and exterior phase, and the conditions of interior phase were unlike those in the surrounding medium. Although some scientists find this an attractive model of a precursor of the cell, it is far from being a consensus view. Fox proposed as a better alterna</w:t>
      </w:r>
      <w:r w:rsidR="008C5068">
        <w:t>t</w:t>
      </w:r>
      <w:r>
        <w:t xml:space="preserve">ive ‘‘microspheres’’ that spontaneously form upon ad ding water to abiotically formed </w:t>
      </w:r>
      <w:proofErr w:type="spellStart"/>
      <w:r>
        <w:t>protenoids</w:t>
      </w:r>
      <w:proofErr w:type="spellEnd"/>
      <w:r>
        <w:t xml:space="preserve">. According to Fox microspheres manifested lifelike characteristics. Many scientists, however, remained unconvinced that there are sufficient likenesses between microspheres and cells such that microspheres could have been the precursor of cells. There are many other theories of how life got started that have not been mentioned, e.g., theories such as those of J. D. Bernal and A.G. Cairns-Smith suggesting that clay initially catalysed the formation of complex </w:t>
      </w:r>
      <w:proofErr w:type="spellStart"/>
      <w:r>
        <w:t>biologi</w:t>
      </w:r>
      <w:proofErr w:type="spellEnd"/>
      <w:r>
        <w:t xml:space="preserve"> </w:t>
      </w:r>
      <w:proofErr w:type="spellStart"/>
      <w:r>
        <w:t>cal</w:t>
      </w:r>
      <w:proofErr w:type="spellEnd"/>
      <w:r>
        <w:t xml:space="preserve"> molecules. This brief review should make it clear that scientists are nowhere close to an abiotic explanation of life’s origin. This is only to be expected, however, given the relative newness and the special difficulties of this area of investigation. Philosophical Problems Philosophical problems associated with the origin of life are closely related to the definition one adopts for life itself. The lower forms of life have manifest affinities with the nonliving as well as with the higher forms of the living, and depending on which affinities one emphasizes, less or greater difficulty is encountered in explaining the production of life from inorganic matter. What follows is a discussion of the possibility of </w:t>
      </w:r>
      <w:proofErr w:type="spellStart"/>
      <w:r>
        <w:t>biopoesis</w:t>
      </w:r>
      <w:proofErr w:type="spellEnd"/>
      <w:r>
        <w:t xml:space="preserve"> in the context of Thomistic teaching on life and its need for an adequate cause, and the possible role of chance in the </w:t>
      </w:r>
      <w:proofErr w:type="spellStart"/>
      <w:r>
        <w:t>biopoesic</w:t>
      </w:r>
      <w:proofErr w:type="spellEnd"/>
      <w:r>
        <w:t xml:space="preserve"> process. Possibility. St. THOMAS AQUINAS admitted the possibility of </w:t>
      </w:r>
      <w:proofErr w:type="spellStart"/>
      <w:r>
        <w:t>biopoesis</w:t>
      </w:r>
      <w:proofErr w:type="spellEnd"/>
      <w:r>
        <w:t xml:space="preserve">. He did not reject St. Augustine’s teaching that in the six days of creation Earth received from God the power to produce plants and trees (Summa theologiae 1a, 69.2). Thomas Aquinas acknowledged that the potentiality for such living forms could be present in primary matter; what is problematic is identifying an efficient cause of sufficient power to </w:t>
      </w:r>
      <w:r w:rsidR="00877682">
        <w:t>reduce</w:t>
      </w:r>
      <w:r>
        <w:t xml:space="preserve"> such from matter. Earth does not seem to be an ad equate efficient cause of plants, since plants, like all living things, are superior to the nonliving elements in that they are able to move themselves. Thomas Aquinas appears to offer two different solutions to this problem. One answer is given when he addresses the question of whether the heavenly bodies are animate. In an objection it is argued that since a cause must be superior to its effect, the generation of animals from decaying materials cannot be adequately accounted for by inanimate causes, but requires an animate cause. Given that decay is caused by the motions of the celestial bodies, especially the Sun, it follows that the celestial bodies must be animate. Thomas Aquinas responds in part by proposing an alternate explanation, namely, that spontaneous generation is caused by spiritual beings who use the celestial bodies as their instruments (De </w:t>
      </w:r>
      <w:proofErr w:type="spellStart"/>
      <w:r>
        <w:t>spiritualibus</w:t>
      </w:r>
      <w:proofErr w:type="spellEnd"/>
      <w:r>
        <w:t xml:space="preserve"> </w:t>
      </w:r>
      <w:proofErr w:type="spellStart"/>
      <w:r>
        <w:t>creaturis</w:t>
      </w:r>
      <w:proofErr w:type="spellEnd"/>
      <w:r>
        <w:t xml:space="preserve"> 6 ad 12; Contra gentiles 3.23). Other passages of Thomas Aquinas indicate that he does not categorically reject the notion that natural mate rial agents alone may be sufficient causes of the genera </w:t>
      </w:r>
      <w:proofErr w:type="spellStart"/>
      <w:r>
        <w:t>tion</w:t>
      </w:r>
      <w:proofErr w:type="spellEnd"/>
      <w:r>
        <w:t xml:space="preserve"> of plants and lower animals. (Following Aristotle, he did not believe that higher organisms could be generated without semen.) He did see </w:t>
      </w:r>
      <w:r>
        <w:lastRenderedPageBreak/>
        <w:t xml:space="preserve">living things as differing from nonliving things in performing activities that go beyond those of the nonliving, either simply as to the manner in which they act, or as to what they accomplish as well (De Anima 13). Plants stay in existence through their own activities, whereas inanimate things do not. Animals are not only able to do things to maintain their existence, they are also capable of knowing things through their senses. In these ways plants and animals exceed nonliving natural things in perfection. On the other hand, the souls of plants and animals (see SOUL) are not forms separable from matter; the activities that plants and animals perform all in volve physical interaction. E.g., a life activity proper to higher organisms such as hearing requires both having organs (ears, brain), and the presence of physical entities (sound waves) that interact with the organ. And so Thomas Aquinas in commenting on the verse from Genesis which speak of Earth producing reptiles says that ‘‘it seems that the sensitive souls of reptiles and other animals are from the action of the corporeal elements. . . . Souls of this sort do not exceed the principles of natural things. And this is manifest from considering the operation of them.’’ (De </w:t>
      </w:r>
      <w:proofErr w:type="spellStart"/>
      <w:r>
        <w:t>potentia</w:t>
      </w:r>
      <w:proofErr w:type="spellEnd"/>
      <w:r>
        <w:t xml:space="preserve"> 3.11, </w:t>
      </w:r>
      <w:proofErr w:type="spellStart"/>
      <w:r>
        <w:t>s.c.</w:t>
      </w:r>
      <w:proofErr w:type="spellEnd"/>
      <w:r>
        <w:t xml:space="preserve"> and corp.) This latter line of thought coincides with some versions of contemporary anthropic reasoning that hold that active principles sufficient for the development of life were built into the universe by an intelligent agent from its very inception. On either view, it is reasonable to think that Thomas Aquinas would maintain that human intelligence accompanied by our ability to manipulate natural forces may allow us someday to produce life from chemicals by artificial means. Role of Chance. Can CHANCE account for the origin of life? Charles Darwin wrote in a letter to Asa Gray that the problem of the origin of living things is too profound for the human intellect. Nevertheless he concluded: ‘‘I am inclined to look at everything as resulting from designed laws, with the details, whether good or bad, left to the working out of what we may call chance.’’ There is much debate about whether the origin of life is fortuitous or necessary, and several confusions. A </w:t>
      </w:r>
      <w:proofErr w:type="spellStart"/>
      <w:r>
        <w:t>posi</w:t>
      </w:r>
      <w:proofErr w:type="spellEnd"/>
      <w:r>
        <w:t xml:space="preserve"> </w:t>
      </w:r>
      <w:proofErr w:type="spellStart"/>
      <w:r>
        <w:t>tion</w:t>
      </w:r>
      <w:proofErr w:type="spellEnd"/>
      <w:r>
        <w:t xml:space="preserve"> at one extreme, emphasizing the contingency of natural things, regards life as a cosmic accident. At the other extreme are those who regard the finality of living things as sufficient evidence that they are the product of design, and who go on from there to deny that there is any element of chance in life’s origin. Both extremes regard chance and design as mutually exclusive. This is not, however, always the case. Thomas Aquinas gives the example of a head of the household who wants the maid to meet the butler, and with this in mind sends them to the same place, each with a different task. Since the two in tend something other than meeting each other, from their point of view they meet by chance. But from the house holder’s point of view, the meeting was not chance, but prearranged. Another common confusion lies in opposing fortuitous occurrences with lawlike occurrences, as Oparin does when he says that ‘‘The origin of life is not a ‘fortunate,’ extremely improbable event, but quite a regular phenomenon subject to a deep scientific analysis.’’ Those who favor this view of the workings of nature hold that, where conditions were favorable, life had to originate. Now chance occurrences are not mere coincidences, such as the Moon undergoing eclipse as one </w:t>
      </w:r>
      <w:r>
        <w:lastRenderedPageBreak/>
        <w:t xml:space="preserve">steps into the shower. Chance involves causality in keeping with the laws of nature. When a person fails to notice a small step, and moves his foot upwards, of necessity he stubs his toe. We call that bad luck not because it is not in keeping with the laws of nature, but because it was not his intention to stub his toe. Thus that something be fortuitous does not mean that it is not due to causes knowable through scientific analysis. Moreover, whether life has originated once or a few times or frequently in the universe, adequate efficient causality is in all cases necessary. Another common misconception is the notion that if a thing arises but once, it must be an unintended fluke. From this some of those who think that life on Earth was intended go on to conclude that life must be abundant throughout the universe. If the first premise was correct, however, then many of the world’s great art masterpieces would be accidents, since they are unique. Thomas Aquinas held that spontaneously produced plants and animals, unlike those that were produced from seeds or semen, were produced by chance (In </w:t>
      </w:r>
      <w:proofErr w:type="spellStart"/>
      <w:r>
        <w:t>Metaphys</w:t>
      </w:r>
      <w:proofErr w:type="spellEnd"/>
      <w:r>
        <w:t xml:space="preserve">. no. 1403). Their production required the causality of the Sun, and the fortuitous coming together of matter not determinately ordered to the production of that life form, in the way that the material in the gametes is. That the Sun gives rise to different spontaneously generated species is due to differences in the matter the Sun shines on (Summa theologiae 1a2ae, 60.1). Thus that the Sun any given day causes the production of an individual of this particular species is by chance. In the greater scheme of things, however, the Sun is a universal cause meant to bring into act all the forms that are in the potency of the matter, and from this point of view that it produces individual of </w:t>
      </w:r>
      <w:proofErr w:type="spellStart"/>
      <w:r>
        <w:t>vari</w:t>
      </w:r>
      <w:proofErr w:type="spellEnd"/>
      <w:r>
        <w:t xml:space="preserve"> </w:t>
      </w:r>
      <w:proofErr w:type="spellStart"/>
      <w:r>
        <w:t>ous</w:t>
      </w:r>
      <w:proofErr w:type="spellEnd"/>
      <w:r>
        <w:t xml:space="preserve"> species is not chance, but intended (In </w:t>
      </w:r>
      <w:proofErr w:type="spellStart"/>
      <w:r>
        <w:t>Metaphys</w:t>
      </w:r>
      <w:proofErr w:type="spellEnd"/>
      <w:r>
        <w:t xml:space="preserve">. no. 1403). Thus in a similar way Thomas Aquinas might have held that the exact time life originated in the universe was a matter of chance as to its immediate causes, but that it arise at some given time was not. Chance is not seen by Thomas Aquinas as opposed to Divine Providence, but indeed as intended by the Creator in order to have a richer universe than one in which all things were necessary. Chance events, however, are, from God’s point of view, part of the order of divine providence; in this sense ‘‘nothing in the world happens by chance,’’ as Augustine declares (Summa theologiae 1a, 103.7 ad 2). Thus Thomas Aquinas would also assert a divine determinism overarching the very real contingencies of nature according to which chance events occur in the production of life and, especially, of human life. </w:t>
      </w:r>
    </w:p>
    <w:sectPr w:rsidR="00BD771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C58E2" w14:textId="77777777" w:rsidR="00F81C63" w:rsidRDefault="00F81C63" w:rsidP="00877682">
      <w:pPr>
        <w:spacing w:after="0" w:line="240" w:lineRule="auto"/>
      </w:pPr>
      <w:r>
        <w:separator/>
      </w:r>
    </w:p>
  </w:endnote>
  <w:endnote w:type="continuationSeparator" w:id="0">
    <w:p w14:paraId="1BF65082" w14:textId="77777777" w:rsidR="00F81C63" w:rsidRDefault="00F81C63" w:rsidP="00877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2E80F" w14:textId="77777777" w:rsidR="00F81C63" w:rsidRDefault="00F81C63" w:rsidP="00877682">
      <w:pPr>
        <w:spacing w:after="0" w:line="240" w:lineRule="auto"/>
      </w:pPr>
      <w:r>
        <w:separator/>
      </w:r>
    </w:p>
  </w:footnote>
  <w:footnote w:type="continuationSeparator" w:id="0">
    <w:p w14:paraId="12A29FD0" w14:textId="77777777" w:rsidR="00F81C63" w:rsidRDefault="00F81C63" w:rsidP="00877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F54C" w14:textId="77777777" w:rsidR="00877682" w:rsidRDefault="00877682" w:rsidP="00877682">
    <w:pPr>
      <w:pStyle w:val="Header"/>
      <w:jc w:val="center"/>
    </w:pPr>
    <w:r>
      <w:rPr>
        <w:kern w:val="0"/>
        <w:sz w:val="28"/>
        <w:szCs w:val="28"/>
        <w14:ligatures w14:val="none"/>
      </w:rPr>
      <w:t>New Catholic Encyclopedia</w:t>
    </w:r>
  </w:p>
  <w:p w14:paraId="0D2A276B" w14:textId="77777777" w:rsidR="00877682" w:rsidRDefault="008776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58"/>
    <w:rsid w:val="0008428B"/>
    <w:rsid w:val="000C24D4"/>
    <w:rsid w:val="001C68DF"/>
    <w:rsid w:val="004E3AF4"/>
    <w:rsid w:val="00545A35"/>
    <w:rsid w:val="00580238"/>
    <w:rsid w:val="005D5EEC"/>
    <w:rsid w:val="00674058"/>
    <w:rsid w:val="006E193D"/>
    <w:rsid w:val="00877682"/>
    <w:rsid w:val="008C5068"/>
    <w:rsid w:val="009E4F7D"/>
    <w:rsid w:val="00A66BF6"/>
    <w:rsid w:val="00B2767C"/>
    <w:rsid w:val="00BD7716"/>
    <w:rsid w:val="00F81C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71D8"/>
  <w15:chartTrackingRefBased/>
  <w15:docId w15:val="{A9865235-FE7A-4454-A525-826A0A2C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4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4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40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40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40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40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0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0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0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0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40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40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40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40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40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0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0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058"/>
    <w:rPr>
      <w:rFonts w:eastAsiaTheme="majorEastAsia" w:cstheme="majorBidi"/>
      <w:color w:val="272727" w:themeColor="text1" w:themeTint="D8"/>
    </w:rPr>
  </w:style>
  <w:style w:type="paragraph" w:styleId="Title">
    <w:name w:val="Title"/>
    <w:basedOn w:val="Normal"/>
    <w:next w:val="Normal"/>
    <w:link w:val="TitleChar"/>
    <w:uiPriority w:val="10"/>
    <w:qFormat/>
    <w:rsid w:val="00674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0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0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058"/>
    <w:pPr>
      <w:spacing w:before="160"/>
      <w:jc w:val="center"/>
    </w:pPr>
    <w:rPr>
      <w:i/>
      <w:iCs/>
      <w:color w:val="404040" w:themeColor="text1" w:themeTint="BF"/>
    </w:rPr>
  </w:style>
  <w:style w:type="character" w:customStyle="1" w:styleId="QuoteChar">
    <w:name w:val="Quote Char"/>
    <w:basedOn w:val="DefaultParagraphFont"/>
    <w:link w:val="Quote"/>
    <w:uiPriority w:val="29"/>
    <w:rsid w:val="00674058"/>
    <w:rPr>
      <w:i/>
      <w:iCs/>
      <w:color w:val="404040" w:themeColor="text1" w:themeTint="BF"/>
    </w:rPr>
  </w:style>
  <w:style w:type="paragraph" w:styleId="ListParagraph">
    <w:name w:val="List Paragraph"/>
    <w:basedOn w:val="Normal"/>
    <w:uiPriority w:val="34"/>
    <w:qFormat/>
    <w:rsid w:val="00674058"/>
    <w:pPr>
      <w:ind w:left="720"/>
      <w:contextualSpacing/>
    </w:pPr>
  </w:style>
  <w:style w:type="character" w:styleId="IntenseEmphasis">
    <w:name w:val="Intense Emphasis"/>
    <w:basedOn w:val="DefaultParagraphFont"/>
    <w:uiPriority w:val="21"/>
    <w:qFormat/>
    <w:rsid w:val="00674058"/>
    <w:rPr>
      <w:i/>
      <w:iCs/>
      <w:color w:val="0F4761" w:themeColor="accent1" w:themeShade="BF"/>
    </w:rPr>
  </w:style>
  <w:style w:type="paragraph" w:styleId="IntenseQuote">
    <w:name w:val="Intense Quote"/>
    <w:basedOn w:val="Normal"/>
    <w:next w:val="Normal"/>
    <w:link w:val="IntenseQuoteChar"/>
    <w:uiPriority w:val="30"/>
    <w:qFormat/>
    <w:rsid w:val="00674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4058"/>
    <w:rPr>
      <w:i/>
      <w:iCs/>
      <w:color w:val="0F4761" w:themeColor="accent1" w:themeShade="BF"/>
    </w:rPr>
  </w:style>
  <w:style w:type="character" w:styleId="IntenseReference">
    <w:name w:val="Intense Reference"/>
    <w:basedOn w:val="DefaultParagraphFont"/>
    <w:uiPriority w:val="32"/>
    <w:qFormat/>
    <w:rsid w:val="00674058"/>
    <w:rPr>
      <w:b/>
      <w:bCs/>
      <w:smallCaps/>
      <w:color w:val="0F4761" w:themeColor="accent1" w:themeShade="BF"/>
      <w:spacing w:val="5"/>
    </w:rPr>
  </w:style>
  <w:style w:type="paragraph" w:styleId="Header">
    <w:name w:val="header"/>
    <w:basedOn w:val="Normal"/>
    <w:link w:val="HeaderChar"/>
    <w:uiPriority w:val="99"/>
    <w:unhideWhenUsed/>
    <w:rsid w:val="00877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7682"/>
  </w:style>
  <w:style w:type="paragraph" w:styleId="Footer">
    <w:name w:val="footer"/>
    <w:basedOn w:val="Normal"/>
    <w:link w:val="FooterChar"/>
    <w:uiPriority w:val="99"/>
    <w:unhideWhenUsed/>
    <w:rsid w:val="00877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7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3532</Words>
  <Characters>20136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2025-11-24T16:11:00Z</dcterms:created>
  <dcterms:modified xsi:type="dcterms:W3CDTF">2025-12-10T22:53:00Z</dcterms:modified>
</cp:coreProperties>
</file>