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9229" w14:textId="09EDEAC6" w:rsidR="00847B36" w:rsidRDefault="00000000">
      <w:pPr>
        <w:spacing w:line="360" w:lineRule="auto"/>
        <w:ind w:firstLine="720"/>
        <w:jc w:val="both"/>
      </w:pPr>
      <w:r>
        <w:t>Unlike in the past, the concept of God is something we can no longer simply presuppose. We begin to see how much greater God is than the words we use to convey our experiences of the Divine.</w:t>
      </w:r>
      <w:r>
        <w:rPr>
          <w:rStyle w:val="FootnoteReference"/>
        </w:rPr>
        <w:footnoteReference w:id="1"/>
      </w:r>
      <w:r>
        <w:t xml:space="preserve"> In contemporary theology, what was originally termed “classical theism” is subjected to well</w:t>
      </w:r>
      <w:r w:rsidR="00A733E5">
        <w:t>-</w:t>
      </w:r>
      <w:r>
        <w:t xml:space="preserve">founded criticisms not only from avowed atheists such as Nietzsche, Feuerbach, Freud, Marx </w:t>
      </w:r>
      <w:r w:rsidR="00A733E5">
        <w:t>etc.</w:t>
      </w:r>
      <w:r>
        <w:t>, but also from a number of modern theologians such as John O’Donnell and John Macquarrie – to name a few. Is there any sense that the position termed ‘classical theism” is viable</w:t>
      </w:r>
      <w:r>
        <w:rPr>
          <w:rStyle w:val="FootnoteReference"/>
        </w:rPr>
        <w:footnoteReference w:id="2"/>
      </w:r>
      <w:r>
        <w:t xml:space="preserve"> today? Are there defects in the traditional way of understanding God?</w:t>
      </w:r>
    </w:p>
    <w:p w14:paraId="414AF5DA" w14:textId="77777777" w:rsidR="00847B36" w:rsidRDefault="00847B36">
      <w:pPr>
        <w:spacing w:line="360" w:lineRule="auto"/>
        <w:jc w:val="both"/>
      </w:pPr>
    </w:p>
    <w:p w14:paraId="73C6868E" w14:textId="77777777" w:rsidR="00847B36" w:rsidRDefault="00000000">
      <w:pPr>
        <w:spacing w:line="360" w:lineRule="auto"/>
        <w:ind w:firstLine="720"/>
        <w:jc w:val="both"/>
      </w:pPr>
      <w:r>
        <w:t>Classical theism</w:t>
      </w:r>
      <w:r>
        <w:rPr>
          <w:rStyle w:val="FootnoteReference"/>
        </w:rPr>
        <w:footnoteReference w:id="3"/>
      </w:r>
      <w:r>
        <w:t xml:space="preserve"> can refer to the God of the Bible, who is unique, faithful, personal, portrayed in quite anthropomorphic ways</w:t>
      </w:r>
      <w:r>
        <w:rPr>
          <w:rStyle w:val="FootnoteReference"/>
        </w:rPr>
        <w:footnoteReference w:id="4"/>
      </w:r>
      <w:r>
        <w:t>, makes covenant, characterised by images but is very much a transcendent God. For example, in the act of creation in Genesis, God is prior to the world and independent of the world. He is basically mystery, otherness and hidden. Religious language can never get rid of images, symbols, metaphors, myths and story when speaking about God. The idea of God, external to the universe but nevertheless intervening in it from time to time to achieve some purpose, is foreign for most people today.</w:t>
      </w:r>
    </w:p>
    <w:p w14:paraId="2224F80A" w14:textId="77777777" w:rsidR="00847B36" w:rsidRDefault="00847B36">
      <w:pPr>
        <w:spacing w:line="360" w:lineRule="auto"/>
        <w:jc w:val="both"/>
      </w:pPr>
    </w:p>
    <w:p w14:paraId="7F4C543F" w14:textId="77777777" w:rsidR="00847B36" w:rsidRDefault="00000000">
      <w:pPr>
        <w:spacing w:line="360" w:lineRule="auto"/>
        <w:ind w:firstLine="720"/>
        <w:jc w:val="both"/>
      </w:pPr>
      <w:r>
        <w:t>J</w:t>
      </w:r>
      <w:r>
        <w:rPr>
          <w:rFonts w:ascii="Courier New" w:hAnsi="Courier New" w:cs="Courier New"/>
        </w:rPr>
        <w:t>ϋ</w:t>
      </w:r>
      <w:r>
        <w:t xml:space="preserve">ngel sees the whole project of modern philosophy, in particularly the attempt to link the classical idea of God to human subjectivity, is implicitly a methodology that will lead to atheism. He takes up the definition of God according to St Anselm, “God is that being a greater than which cannot be conceived”, and shows that the concept of God is the highest achievement of the human mind, as well as beyond the mind. This implies that we recognise ourselves as creatures, excluded from God. God becomes a threat to our humanity, a charge laid upon God by many modern atheists (Nietzsche, Marx). Ernst Bloch speaks of God as “‘an above’, where </w:t>
      </w:r>
      <w:r>
        <w:lastRenderedPageBreak/>
        <w:t>no man exists.”</w:t>
      </w:r>
      <w:r>
        <w:rPr>
          <w:rStyle w:val="FootnoteReference"/>
        </w:rPr>
        <w:footnoteReference w:id="5"/>
      </w:r>
      <w:r>
        <w:t xml:space="preserve"> This classical idea of God, as the Supreme Being, excludes humanity, and so theism is rejected because of humanism.</w:t>
      </w:r>
    </w:p>
    <w:p w14:paraId="2E48F311" w14:textId="77777777" w:rsidR="00847B36" w:rsidRDefault="00847B36">
      <w:pPr>
        <w:spacing w:line="360" w:lineRule="auto"/>
        <w:jc w:val="both"/>
      </w:pPr>
    </w:p>
    <w:p w14:paraId="3FA1A885" w14:textId="77777777" w:rsidR="00847B36" w:rsidRDefault="00000000">
      <w:pPr>
        <w:spacing w:line="360" w:lineRule="auto"/>
        <w:ind w:firstLine="720"/>
        <w:jc w:val="both"/>
      </w:pPr>
      <w:r>
        <w:t>Does Anselm’s ontological argument as part of classical theism in the light of modern philosophical lead us into another conundrum from which it is impossible to escape? Though the phenomenon of atheism is complex, it is possible to say that modern atheism may be the fruit of the rejection of the classical idea of God. This is found in the atheistic experience of freedom from a God who imposes his laws, standards and will to restrict human autonomy.</w:t>
      </w:r>
    </w:p>
    <w:p w14:paraId="37CACBE3" w14:textId="77777777" w:rsidR="00847B36" w:rsidRDefault="00847B36">
      <w:pPr>
        <w:spacing w:line="360" w:lineRule="auto"/>
        <w:jc w:val="both"/>
      </w:pPr>
    </w:p>
    <w:p w14:paraId="79FC8792" w14:textId="7810888B" w:rsidR="00847B36" w:rsidRDefault="00000000">
      <w:pPr>
        <w:spacing w:line="360" w:lineRule="auto"/>
        <w:ind w:firstLine="720"/>
        <w:jc w:val="both"/>
      </w:pPr>
      <w:r>
        <w:t xml:space="preserve">Kasper sees, since the Enlightenment, a relentless quest for human freedom for those who have so come of age they no longer need religion with all its authority, doctrines and norms, since Science can provide an adequate vision of life. The problem here, he stresses is that the Sciences are unable to answer the deeper questions about life, death, suffering </w:t>
      </w:r>
      <w:r w:rsidR="00A733E5">
        <w:t>etc.</w:t>
      </w:r>
      <w:r>
        <w:t>, and often lead to an enslavement and dehumanization of a person as a means to an end.</w:t>
      </w:r>
      <w:r>
        <w:rPr>
          <w:rStyle w:val="FootnoteReference"/>
        </w:rPr>
        <w:footnoteReference w:id="6"/>
      </w:r>
      <w:r>
        <w:t xml:space="preserve"> Atheism does not provide a satisfactory alternative. It too has its own inadequacies and incoherence. The attempt to abolish God has not resulted in the advancement of human transcendence but an increase in alienation and frustration. It has led to </w:t>
      </w:r>
      <w:r>
        <w:rPr>
          <w:i/>
          <w:iCs/>
        </w:rPr>
        <w:t>Nihilism</w:t>
      </w:r>
      <w:r>
        <w:t xml:space="preserve"> where there is no centre of reference, no absolute.</w:t>
      </w:r>
    </w:p>
    <w:p w14:paraId="67E9F083" w14:textId="77777777" w:rsidR="00847B36" w:rsidRDefault="00847B36">
      <w:pPr>
        <w:spacing w:line="360" w:lineRule="auto"/>
        <w:jc w:val="both"/>
      </w:pPr>
    </w:p>
    <w:p w14:paraId="14BCB0D4" w14:textId="77777777" w:rsidR="00847B36" w:rsidRDefault="00000000">
      <w:pPr>
        <w:spacing w:line="360" w:lineRule="auto"/>
        <w:ind w:firstLine="720"/>
        <w:jc w:val="both"/>
      </w:pPr>
      <w:r>
        <w:t>As Kasper rightly advocates, any desire for liberty has a transcendent rootage. This implies that there are two poles, both of which offer an antinomy. There is the choice of theism leading to heteronomy</w:t>
      </w:r>
      <w:r>
        <w:rPr>
          <w:rStyle w:val="FootnoteReference"/>
        </w:rPr>
        <w:footnoteReference w:id="7"/>
      </w:r>
      <w:r>
        <w:t xml:space="preserve"> and atheism leading to reckless autonomy and useless passion.</w:t>
      </w:r>
      <w:r>
        <w:rPr>
          <w:rStyle w:val="FootnoteReference"/>
        </w:rPr>
        <w:footnoteReference w:id="8"/>
      </w:r>
      <w:r>
        <w:t xml:space="preserve"> This imbalance between the objective idea of God and subjective autonomy, requires a freedom in which the freedom of God and humankind are not against each other. This can be found in the God of Revelation, Jesus Christ who came to bring peace, freedom, justice and life. The classical idea of Anselm’s transcendent God needs to be balanced with the idea of a God who is immanent to his people through his Son. This therefore leads to a dilemma (antimony) in the </w:t>
      </w:r>
      <w:r>
        <w:lastRenderedPageBreak/>
        <w:t>understanding of God. On the one hand we have a God who is distant from the world, and on the other hand, some modern approaches have reduced God to something less than the ultimate.</w:t>
      </w:r>
    </w:p>
    <w:p w14:paraId="25D86353" w14:textId="77777777" w:rsidR="00847B36" w:rsidRDefault="00847B36">
      <w:pPr>
        <w:spacing w:line="360" w:lineRule="auto"/>
        <w:jc w:val="both"/>
      </w:pPr>
    </w:p>
    <w:p w14:paraId="7967245E" w14:textId="77777777" w:rsidR="00847B36" w:rsidRDefault="00000000">
      <w:pPr>
        <w:spacing w:line="360" w:lineRule="auto"/>
        <w:ind w:firstLine="720"/>
        <w:jc w:val="both"/>
      </w:pPr>
      <w:r>
        <w:t>In the face of these difficulties, the classical concept of God has been substituted by a number of contemporary philosophers (Whitehead, Hartshorne) by a God who is becoming like the rest of reality, in which reality is a process, a dynamic becoming.</w:t>
      </w:r>
      <w:r>
        <w:rPr>
          <w:rStyle w:val="FootnoteReference"/>
        </w:rPr>
        <w:footnoteReference w:id="9"/>
      </w:r>
      <w:r>
        <w:t xml:space="preserve"> This revolutionary view, whilst trying to get rid of the abstraction of God, is not suitable because if God never reaches a static completion he would lack many of the perennial divine attributes – immutability, infiniteness and so on. God is more than a primordial, non-temporal accident who is able to grow in perfection as the world increases. To surrender the classical notion of God’s transcendence for the sake of an immanence in the world fails to do justice to the whole idea of God and our experience of being creatures.</w:t>
      </w:r>
      <w:r>
        <w:rPr>
          <w:rStyle w:val="FootnoteReference"/>
        </w:rPr>
        <w:footnoteReference w:id="10"/>
      </w:r>
      <w:r>
        <w:t xml:space="preserve"> </w:t>
      </w:r>
    </w:p>
    <w:p w14:paraId="04EB135A" w14:textId="77777777" w:rsidR="00847B36" w:rsidRDefault="00847B36">
      <w:pPr>
        <w:spacing w:line="360" w:lineRule="auto"/>
        <w:jc w:val="both"/>
      </w:pPr>
    </w:p>
    <w:p w14:paraId="49521812" w14:textId="77777777" w:rsidR="00847B36" w:rsidRDefault="00000000">
      <w:pPr>
        <w:spacing w:line="360" w:lineRule="auto"/>
        <w:ind w:firstLine="720"/>
        <w:jc w:val="both"/>
      </w:pPr>
      <w:r>
        <w:t xml:space="preserve">Macquarrie takes the Summa Theologica of St Thomas as the best representation of “classical theism”. Here Aquinas presents five arguments to prove the existence of God based on the philosophy of Aristotle. Here, God is presented in pure abstraction as the ‘unmoved mover’, the ‘first cause’, the ‘necessary being’, the ‘highest source’, and the ‘divine </w:t>
      </w:r>
      <w:proofErr w:type="spellStart"/>
      <w:r>
        <w:t>orderer</w:t>
      </w:r>
      <w:proofErr w:type="spellEnd"/>
      <w:r>
        <w:t xml:space="preserve"> of reality.’ He concludes each proof with a generalised statement, “And this everyone calls God.”</w:t>
      </w:r>
      <w:r>
        <w:rPr>
          <w:rStyle w:val="FootnoteReference"/>
        </w:rPr>
        <w:t xml:space="preserve"> </w:t>
      </w:r>
      <w:r>
        <w:rPr>
          <w:rStyle w:val="FootnoteReference"/>
        </w:rPr>
        <w:footnoteReference w:id="11"/>
      </w:r>
      <w:r>
        <w:t xml:space="preserve"> This statement itself can lead to popular misunderstandings about God and his ‘five ways’ have failed to lead to certitude. The difficulties some scholars (Moltmann) have today with the five ways has little to do with the arguments presented by Aquinas but with his conclusions.</w:t>
      </w:r>
    </w:p>
    <w:p w14:paraId="6D72431A" w14:textId="77777777" w:rsidR="00847B36" w:rsidRDefault="00847B36">
      <w:pPr>
        <w:spacing w:line="360" w:lineRule="auto"/>
        <w:jc w:val="both"/>
      </w:pPr>
    </w:p>
    <w:p w14:paraId="5385311C" w14:textId="77777777" w:rsidR="00847B36" w:rsidRDefault="00000000">
      <w:pPr>
        <w:spacing w:line="360" w:lineRule="auto"/>
        <w:ind w:firstLine="720"/>
        <w:jc w:val="both"/>
      </w:pPr>
      <w:r>
        <w:t xml:space="preserve">The classical idea of God as propounded by St Thomas identifies God as the fullness of </w:t>
      </w:r>
      <w:r>
        <w:rPr>
          <w:b/>
          <w:bCs/>
        </w:rPr>
        <w:t>B</w:t>
      </w:r>
      <w:r>
        <w:t>eing</w:t>
      </w:r>
      <w:r>
        <w:rPr>
          <w:rStyle w:val="FootnoteReference"/>
        </w:rPr>
        <w:footnoteReference w:id="12"/>
      </w:r>
      <w:r>
        <w:t xml:space="preserve"> and as pure act. Since God is unable to change he has neither becoming or potentiality like other beings. This implies that God never changes in relation to the world, although the world is constantly changing in relation to him.</w:t>
      </w:r>
      <w:r>
        <w:rPr>
          <w:rStyle w:val="FootnoteReference"/>
        </w:rPr>
        <w:footnoteReference w:id="13"/>
      </w:r>
      <w:r>
        <w:t xml:space="preserve"> Macquarrie sees Aquinas’ God-world relationship as asymmetrical. This lack of reciprocal relations suggest that the world </w:t>
      </w:r>
      <w:r>
        <w:lastRenderedPageBreak/>
        <w:t>needs God but God has no need of the world. God is not affected by anything which happens in the world i.e. the suffering of his creatures.</w:t>
      </w:r>
      <w:r>
        <w:rPr>
          <w:rStyle w:val="FootnoteReference"/>
        </w:rPr>
        <w:footnoteReference w:id="14"/>
      </w:r>
    </w:p>
    <w:p w14:paraId="37B9D1F8" w14:textId="77777777" w:rsidR="00847B36" w:rsidRDefault="00847B36">
      <w:pPr>
        <w:spacing w:line="360" w:lineRule="auto"/>
        <w:jc w:val="both"/>
      </w:pPr>
    </w:p>
    <w:p w14:paraId="6EB8E5EA" w14:textId="1358B262" w:rsidR="00847B36" w:rsidRDefault="00000000">
      <w:pPr>
        <w:spacing w:line="360" w:lineRule="auto"/>
        <w:ind w:firstLine="720"/>
        <w:jc w:val="both"/>
      </w:pPr>
      <w:r>
        <w:t>Macquarrie criticises Aquinas’ classical model of God further by suggesting it is contrary to the biblical God who responds to human decisions and is affected by them; who is identified in human history with the Incarnation, life, death and resurrection of Jesus of Nazareth. By Jesus becoming both temporal and corporeal, God identifies himself with suffering humanity.</w:t>
      </w:r>
      <w:r>
        <w:rPr>
          <w:rStyle w:val="FootnoteReference"/>
        </w:rPr>
        <w:footnoteReference w:id="15"/>
      </w:r>
      <w:r>
        <w:t xml:space="preserve"> The traditional concept of God removes God from the world and pays little attention to any possible on-going relationship between God and the world. If God is merely the “unmoved mover” </w:t>
      </w:r>
      <w:r w:rsidR="00A733E5">
        <w:t>etc.</w:t>
      </w:r>
      <w:r>
        <w:t>, then he is a distant and absentee being. This implies an uninvolved God, a one-sidely transcendent God who is over and above the world.</w:t>
      </w:r>
      <w:r>
        <w:rPr>
          <w:rStyle w:val="FootnoteReference"/>
        </w:rPr>
        <w:footnoteReference w:id="16"/>
      </w:r>
      <w:r>
        <w:t xml:space="preserve"> How does one understand the relationship between the philosophical concept of “classical theism” and the triune God of revelation? How do we rate the God of philosophy and the God of Christianity who identifies himself with the suffering and cross of Jesus? It follows that our descriptions of God as “impassible, immutable, eternal, perfect” </w:t>
      </w:r>
      <w:r w:rsidR="00A733E5">
        <w:t>etc.</w:t>
      </w:r>
      <w:r>
        <w:t>, are most inadequate. They merely emphasise the total “otherness” of God.</w:t>
      </w:r>
    </w:p>
    <w:p w14:paraId="46594582" w14:textId="77777777" w:rsidR="00847B36" w:rsidRDefault="00847B36">
      <w:pPr>
        <w:spacing w:line="360" w:lineRule="auto"/>
        <w:jc w:val="both"/>
      </w:pPr>
    </w:p>
    <w:p w14:paraId="69CC5DAC" w14:textId="77777777" w:rsidR="00847B36" w:rsidRDefault="00000000">
      <w:pPr>
        <w:spacing w:line="360" w:lineRule="auto"/>
        <w:ind w:firstLine="720"/>
        <w:jc w:val="both"/>
      </w:pPr>
      <w:r>
        <w:t>In his Summa, Aquinas writes, “God is everywhere in substance, power and presence”</w:t>
      </w:r>
      <w:r>
        <w:rPr>
          <w:rStyle w:val="FootnoteReference"/>
        </w:rPr>
        <w:footnoteReference w:id="17"/>
      </w:r>
      <w:r>
        <w:t xml:space="preserve"> and “the perfection of his nature places God above everything, and yet as causing their existence he also exists in everything.”</w:t>
      </w:r>
      <w:r>
        <w:rPr>
          <w:rStyle w:val="FootnoteReference"/>
        </w:rPr>
        <w:footnoteReference w:id="18"/>
      </w:r>
      <w:r>
        <w:t xml:space="preserve"> He maintains an implicit dialectic of a God who is both transcendent and Immanent, although not explicitly expressed. Macquarrie’s solution to this is to apply our descriptions of God in a fully dialectical way.</w:t>
      </w:r>
      <w:r>
        <w:rPr>
          <w:rStyle w:val="FootnoteReference"/>
        </w:rPr>
        <w:footnoteReference w:id="19"/>
      </w:r>
      <w:r>
        <w:t xml:space="preserve"> This means recognizing that the opposite attributes are also applicable to God. This model takes the transcendence of God and puts it in equal tension with a recognition of his immanence in the world.</w:t>
      </w:r>
      <w:r>
        <w:rPr>
          <w:rStyle w:val="FootnoteReference"/>
        </w:rPr>
        <w:footnoteReference w:id="20"/>
      </w:r>
      <w:r>
        <w:t xml:space="preserve"> His model sets up dialectics between concepts of God and images of God, between natural or </w:t>
      </w:r>
      <w:r>
        <w:lastRenderedPageBreak/>
        <w:t>philosophical theology (reason) and revealed or biblical theology (lived reality of faith), between apiori and posteriori positions, between objective and subjective thinking about God, and so on. Macquarrie’s solution is to eliminate a particular person leaning on one side or another because it would need the two contrasting poles to be held dialectically together when experiencing and speaking about God. He alleges that there is “a dialectic built into the very idea of God.”</w:t>
      </w:r>
      <w:r>
        <w:rPr>
          <w:rStyle w:val="FootnoteReference"/>
        </w:rPr>
        <w:footnoteReference w:id="21"/>
      </w:r>
      <w:r>
        <w:t xml:space="preserve"> The conflict at either end (thesis Vs antithesis) helps create a synthesis of God.</w:t>
      </w:r>
    </w:p>
    <w:p w14:paraId="60327A55" w14:textId="77777777" w:rsidR="00847B36" w:rsidRDefault="00847B36">
      <w:pPr>
        <w:spacing w:line="360" w:lineRule="auto"/>
        <w:jc w:val="both"/>
      </w:pPr>
    </w:p>
    <w:p w14:paraId="0B8BE979" w14:textId="77777777" w:rsidR="00847B36" w:rsidRDefault="00000000">
      <w:pPr>
        <w:spacing w:line="360" w:lineRule="auto"/>
        <w:ind w:firstLine="720"/>
        <w:jc w:val="both"/>
      </w:pPr>
      <w:r>
        <w:t>Classical theism today would have to admit there are some serious problems. It would require some rethinking if the reality of God is to have significance for humanity. The dilemmas in thinking about God (as aloof, impassible, atemporal), as defined by Aquinas and others, have led to a situation of widespread atheism. Atheism and its alternatives are not adequate ways to think about God. Any notion of God must represent his transcendence and immanence in a full, equal and balanced way. God’s transcendence must not be limited or replaced to the level of finitude nor must his immanence, to fit into the biblical understanding of a Creator-God, be overly elevated that God is no longer the ultimate.</w:t>
      </w:r>
    </w:p>
    <w:p w14:paraId="11886B3A" w14:textId="77777777" w:rsidR="00847B36" w:rsidRDefault="00847B36">
      <w:pPr>
        <w:spacing w:line="360" w:lineRule="auto"/>
        <w:jc w:val="both"/>
      </w:pPr>
    </w:p>
    <w:p w14:paraId="39864040" w14:textId="77777777" w:rsidR="00847B36" w:rsidRDefault="00000000">
      <w:pPr>
        <w:spacing w:line="360" w:lineRule="auto"/>
        <w:ind w:firstLine="720"/>
        <w:jc w:val="both"/>
      </w:pPr>
      <w:r>
        <w:t>Modern authors such as Moltmann and Jϋngel have proposed the Christian experience of God as the way forward. In Jesus, God has identified himself with human history by virtue of the Incarnation. His death on the cross shows God as suffering and dying. There is no doubt that the experience of God in Jesus Christ offers us a new way of understanding God, as completely Trinitarian.</w:t>
      </w:r>
      <w:r>
        <w:rPr>
          <w:rStyle w:val="FootnoteReference"/>
        </w:rPr>
        <w:footnoteReference w:id="22"/>
      </w:r>
      <w:r>
        <w:t xml:space="preserve"> As with Macquarrie who stressed the immanent presence of God as having a real relation with the world and a concern for its affairs, the classical idea of God should be supplemented with a more dialectical approach in which God (triune) is not only transcendent but also immanent to all reality. This gives equal weight to each side of the dialectic opposition.</w:t>
      </w:r>
      <w:r>
        <w:rPr>
          <w:rStyle w:val="FootnoteReference"/>
        </w:rPr>
        <w:footnoteReference w:id="23"/>
      </w:r>
      <w:r>
        <w:t xml:space="preserve"> Classical theism therefore remains viable if represented in a new way, in a more dialectical approach and thoroughly Trinitarian. Unlike Macquarrie, I do not believe it requires a radical rethinking of the concept of God but classical theism needs to be less vague and more specific.</w:t>
      </w:r>
    </w:p>
    <w:p w14:paraId="6E5BA938" w14:textId="77777777" w:rsidR="00847B36" w:rsidRDefault="00847B36">
      <w:pPr>
        <w:spacing w:line="360" w:lineRule="auto"/>
        <w:jc w:val="both"/>
      </w:pPr>
    </w:p>
    <w:p w14:paraId="4D77BE9B" w14:textId="77777777" w:rsidR="00847B36" w:rsidRDefault="00847B36">
      <w:pPr>
        <w:spacing w:line="360" w:lineRule="auto"/>
        <w:jc w:val="both"/>
      </w:pPr>
    </w:p>
    <w:p w14:paraId="05D8247E" w14:textId="77777777" w:rsidR="00847B36" w:rsidRDefault="00847B36">
      <w:pPr>
        <w:spacing w:line="360" w:lineRule="auto"/>
        <w:jc w:val="both"/>
      </w:pPr>
    </w:p>
    <w:p w14:paraId="4FFCA3A1" w14:textId="77777777" w:rsidR="00847B36" w:rsidRDefault="00000000">
      <w:pPr>
        <w:pStyle w:val="Heading1"/>
      </w:pPr>
      <w:r>
        <w:t>Bibliography</w:t>
      </w:r>
    </w:p>
    <w:p w14:paraId="2A1E379F" w14:textId="77777777" w:rsidR="00847B36" w:rsidRDefault="00847B36"/>
    <w:p w14:paraId="6448AA52" w14:textId="77777777" w:rsidR="00847B36" w:rsidRDefault="00847B36"/>
    <w:p w14:paraId="52BB0AA4" w14:textId="77777777" w:rsidR="00847B36" w:rsidRDefault="00000000">
      <w:r>
        <w:t xml:space="preserve">O’Donnell, John., </w:t>
      </w:r>
      <w:r>
        <w:rPr>
          <w:i/>
          <w:iCs/>
        </w:rPr>
        <w:t>The Mystery of the Triune God</w:t>
      </w:r>
      <w:r>
        <w:t>. Paulist Press: New York, 1983.</w:t>
      </w:r>
    </w:p>
    <w:p w14:paraId="6C942345" w14:textId="77777777" w:rsidR="00847B36" w:rsidRDefault="00847B36"/>
    <w:p w14:paraId="0A1A0B46" w14:textId="77777777" w:rsidR="00847B36" w:rsidRDefault="00000000">
      <w:r>
        <w:t xml:space="preserve">Macquarrie, John., </w:t>
      </w:r>
      <w:r>
        <w:rPr>
          <w:i/>
          <w:iCs/>
        </w:rPr>
        <w:t>Thinking About God</w:t>
      </w:r>
      <w:r>
        <w:t>. SCM Press: London, 1975.</w:t>
      </w:r>
    </w:p>
    <w:p w14:paraId="242F43FD" w14:textId="77777777" w:rsidR="00CA2A93" w:rsidRDefault="00000000">
      <w:r>
        <w:tab/>
      </w:r>
      <w:r>
        <w:tab/>
        <w:t xml:space="preserve">        </w:t>
      </w:r>
      <w:r>
        <w:rPr>
          <w:i/>
          <w:iCs/>
        </w:rPr>
        <w:t>In Search of Deity</w:t>
      </w:r>
      <w:r>
        <w:t>. SCM Press: London, 1984.</w:t>
      </w:r>
    </w:p>
    <w:sectPr w:rsidR="00CA2A93">
      <w:headerReference w:type="even" r:id="rId6"/>
      <w:headerReference w:type="default" r:id="rId7"/>
      <w:pgSz w:w="12240" w:h="15840"/>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806D" w14:textId="77777777" w:rsidR="007669BC" w:rsidRDefault="007669BC">
      <w:r>
        <w:separator/>
      </w:r>
    </w:p>
  </w:endnote>
  <w:endnote w:type="continuationSeparator" w:id="0">
    <w:p w14:paraId="6A8EB838" w14:textId="77777777" w:rsidR="007669BC" w:rsidRDefault="0076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C861F" w14:textId="77777777" w:rsidR="007669BC" w:rsidRDefault="007669BC">
      <w:r>
        <w:separator/>
      </w:r>
    </w:p>
  </w:footnote>
  <w:footnote w:type="continuationSeparator" w:id="0">
    <w:p w14:paraId="6704556F" w14:textId="77777777" w:rsidR="007669BC" w:rsidRDefault="007669BC">
      <w:r>
        <w:continuationSeparator/>
      </w:r>
    </w:p>
  </w:footnote>
  <w:footnote w:id="1">
    <w:p w14:paraId="72DC4F8B" w14:textId="77777777" w:rsidR="00847B36" w:rsidRDefault="00000000">
      <w:pPr>
        <w:pStyle w:val="FootnoteText"/>
      </w:pPr>
      <w:r>
        <w:rPr>
          <w:rStyle w:val="FootnoteReference"/>
        </w:rPr>
        <w:footnoteRef/>
      </w:r>
      <w:r>
        <w:t xml:space="preserve"> It is probably wise, for the purpose of this paper, not to get involved in the way traditional Catholic theology uses the terms kataphatic (or the positive) and apophatic (or the negative) theology to describe what human language can or cannot do in describing one’s experience and understanding of God.</w:t>
      </w:r>
    </w:p>
  </w:footnote>
  <w:footnote w:id="2">
    <w:p w14:paraId="08E46A2E" w14:textId="77777777" w:rsidR="00847B36" w:rsidRDefault="00000000">
      <w:pPr>
        <w:pStyle w:val="FootnoteText"/>
      </w:pPr>
      <w:r>
        <w:rPr>
          <w:rStyle w:val="FootnoteReference"/>
        </w:rPr>
        <w:footnoteRef/>
      </w:r>
      <w:r>
        <w:t xml:space="preserve"> In this paper, ‘</w:t>
      </w:r>
      <w:r>
        <w:rPr>
          <w:i/>
          <w:iCs/>
        </w:rPr>
        <w:t>viable’</w:t>
      </w:r>
      <w:r>
        <w:t xml:space="preserve"> means to be workable, practical or having reached a stage of development as to permit classical theism’s continued existence as relevant, under normal conditions, to contemporary people.</w:t>
      </w:r>
    </w:p>
  </w:footnote>
  <w:footnote w:id="3">
    <w:p w14:paraId="3DCA22BB" w14:textId="77777777" w:rsidR="00847B36" w:rsidRDefault="00000000">
      <w:pPr>
        <w:pStyle w:val="FootnoteText"/>
      </w:pPr>
      <w:r>
        <w:rPr>
          <w:rStyle w:val="FootnoteReference"/>
        </w:rPr>
        <w:footnoteRef/>
      </w:r>
      <w:r>
        <w:t xml:space="preserve"> Classical theism includes not just theistic formulations of philosophers and theologians of the past, but a large number of popular beliefs about God. Cf., John Macquarrie, </w:t>
      </w:r>
      <w:r>
        <w:rPr>
          <w:i/>
          <w:iCs/>
        </w:rPr>
        <w:t>In Search of Deity</w:t>
      </w:r>
      <w:r>
        <w:t xml:space="preserve"> (London: SCM Press, 1984), p.30.</w:t>
      </w:r>
    </w:p>
  </w:footnote>
  <w:footnote w:id="4">
    <w:p w14:paraId="0EA3265F" w14:textId="77777777" w:rsidR="00847B36" w:rsidRDefault="00000000">
      <w:pPr>
        <w:pStyle w:val="FootnoteText"/>
      </w:pPr>
      <w:r>
        <w:rPr>
          <w:rStyle w:val="FootnoteReference"/>
        </w:rPr>
        <w:footnoteRef/>
      </w:r>
      <w:r>
        <w:t xml:space="preserve"> It is a way of ascribing human attributes to God.</w:t>
      </w:r>
    </w:p>
  </w:footnote>
  <w:footnote w:id="5">
    <w:p w14:paraId="2403B419" w14:textId="77777777" w:rsidR="00847B36" w:rsidRDefault="00000000">
      <w:pPr>
        <w:pStyle w:val="FootnoteText"/>
      </w:pPr>
      <w:r>
        <w:rPr>
          <w:rStyle w:val="FootnoteReference"/>
        </w:rPr>
        <w:footnoteRef/>
      </w:r>
      <w:r>
        <w:t xml:space="preserve"> </w:t>
      </w:r>
      <w:r>
        <w:rPr>
          <w:i/>
          <w:iCs/>
        </w:rPr>
        <w:t>Ibid</w:t>
      </w:r>
      <w:r>
        <w:t>., p. 10.</w:t>
      </w:r>
    </w:p>
  </w:footnote>
  <w:footnote w:id="6">
    <w:p w14:paraId="3D20F5A7" w14:textId="77777777" w:rsidR="00847B36" w:rsidRDefault="00000000">
      <w:pPr>
        <w:pStyle w:val="FootnoteText"/>
      </w:pPr>
      <w:r>
        <w:rPr>
          <w:rStyle w:val="FootnoteReference"/>
        </w:rPr>
        <w:footnoteRef/>
      </w:r>
      <w:r>
        <w:t xml:space="preserve"> John O’Donnell., </w:t>
      </w:r>
      <w:r>
        <w:rPr>
          <w:i/>
          <w:iCs/>
        </w:rPr>
        <w:t>The Mystery of the Triune God</w:t>
      </w:r>
      <w:r>
        <w:t xml:space="preserve"> (New York: Paulist Press, 1983), p. 11-12.</w:t>
      </w:r>
    </w:p>
  </w:footnote>
  <w:footnote w:id="7">
    <w:p w14:paraId="347CE7F4" w14:textId="77777777" w:rsidR="00847B36" w:rsidRDefault="00000000">
      <w:pPr>
        <w:pStyle w:val="FootnoteText"/>
      </w:pPr>
      <w:r>
        <w:rPr>
          <w:rStyle w:val="FootnoteReference"/>
        </w:rPr>
        <w:footnoteRef/>
      </w:r>
      <w:r>
        <w:t xml:space="preserve"> This is a type of heartless morality, norms and values.</w:t>
      </w:r>
    </w:p>
  </w:footnote>
  <w:footnote w:id="8">
    <w:p w14:paraId="36DB3EC7" w14:textId="77777777" w:rsidR="00847B36" w:rsidRDefault="00000000">
      <w:pPr>
        <w:pStyle w:val="FootnoteText"/>
      </w:pPr>
      <w:r>
        <w:rPr>
          <w:rStyle w:val="FootnoteReference"/>
        </w:rPr>
        <w:footnoteRef/>
      </w:r>
      <w:r>
        <w:t xml:space="preserve"> </w:t>
      </w:r>
      <w:r>
        <w:rPr>
          <w:i/>
          <w:iCs/>
        </w:rPr>
        <w:t>Ibid</w:t>
      </w:r>
      <w:r>
        <w:t>., p. 13-14.</w:t>
      </w:r>
    </w:p>
  </w:footnote>
  <w:footnote w:id="9">
    <w:p w14:paraId="1404288B" w14:textId="77777777" w:rsidR="00847B36" w:rsidRDefault="00000000">
      <w:pPr>
        <w:pStyle w:val="FootnoteText"/>
      </w:pPr>
      <w:r>
        <w:rPr>
          <w:rStyle w:val="FootnoteReference"/>
        </w:rPr>
        <w:footnoteRef/>
      </w:r>
      <w:r>
        <w:t xml:space="preserve"> O’Donnell., </w:t>
      </w:r>
      <w:r>
        <w:rPr>
          <w:i/>
          <w:iCs/>
        </w:rPr>
        <w:t>Op.Cit</w:t>
      </w:r>
      <w:r>
        <w:t>, p. 4.</w:t>
      </w:r>
    </w:p>
  </w:footnote>
  <w:footnote w:id="10">
    <w:p w14:paraId="7E942493" w14:textId="77777777" w:rsidR="00847B36" w:rsidRDefault="00000000">
      <w:pPr>
        <w:pStyle w:val="FootnoteText"/>
      </w:pPr>
      <w:r>
        <w:rPr>
          <w:rStyle w:val="FootnoteReference"/>
        </w:rPr>
        <w:footnoteRef/>
      </w:r>
      <w:r>
        <w:t xml:space="preserve"> </w:t>
      </w:r>
      <w:r>
        <w:rPr>
          <w:i/>
          <w:iCs/>
        </w:rPr>
        <w:t>Ibid</w:t>
      </w:r>
      <w:r>
        <w:t>., p. 5.</w:t>
      </w:r>
    </w:p>
  </w:footnote>
  <w:footnote w:id="11">
    <w:p w14:paraId="144C1191" w14:textId="77777777" w:rsidR="00847B36" w:rsidRDefault="00000000">
      <w:pPr>
        <w:pStyle w:val="FootnoteText"/>
      </w:pPr>
      <w:r>
        <w:rPr>
          <w:rStyle w:val="FootnoteReference"/>
        </w:rPr>
        <w:footnoteRef/>
      </w:r>
      <w:r>
        <w:t xml:space="preserve"> O’Donnell., </w:t>
      </w:r>
      <w:r>
        <w:rPr>
          <w:i/>
          <w:iCs/>
        </w:rPr>
        <w:t>Op.Cit</w:t>
      </w:r>
      <w:r>
        <w:t>, p. 1.</w:t>
      </w:r>
    </w:p>
  </w:footnote>
  <w:footnote w:id="12">
    <w:p w14:paraId="454AAC63" w14:textId="77777777" w:rsidR="00847B36" w:rsidRDefault="00000000">
      <w:pPr>
        <w:pStyle w:val="FootnoteText"/>
      </w:pPr>
      <w:r>
        <w:rPr>
          <w:rStyle w:val="FootnoteReference"/>
        </w:rPr>
        <w:footnoteRef/>
      </w:r>
      <w:r>
        <w:t xml:space="preserve"> There is always a polemic against ontotheology – God does not exist like an entity within the world.</w:t>
      </w:r>
    </w:p>
  </w:footnote>
  <w:footnote w:id="13">
    <w:p w14:paraId="5CC41B18" w14:textId="77777777" w:rsidR="00847B36" w:rsidRDefault="00000000">
      <w:pPr>
        <w:pStyle w:val="FootnoteText"/>
      </w:pPr>
      <w:r>
        <w:rPr>
          <w:rStyle w:val="FootnoteReference"/>
        </w:rPr>
        <w:footnoteRef/>
      </w:r>
      <w:r>
        <w:t xml:space="preserve"> </w:t>
      </w:r>
      <w:r>
        <w:rPr>
          <w:i/>
          <w:iCs/>
        </w:rPr>
        <w:t>Ibid</w:t>
      </w:r>
      <w:r>
        <w:t>., p. 2.</w:t>
      </w:r>
    </w:p>
  </w:footnote>
  <w:footnote w:id="14">
    <w:p w14:paraId="6A504C58" w14:textId="77777777" w:rsidR="00847B36" w:rsidRDefault="00000000">
      <w:pPr>
        <w:pStyle w:val="FootnoteText"/>
      </w:pPr>
      <w:r>
        <w:rPr>
          <w:rStyle w:val="FootnoteReference"/>
        </w:rPr>
        <w:footnoteRef/>
      </w:r>
      <w:r>
        <w:t xml:space="preserve"> John Macquarrie., </w:t>
      </w:r>
      <w:r>
        <w:rPr>
          <w:i/>
          <w:iCs/>
        </w:rPr>
        <w:t>Thinking About God</w:t>
      </w:r>
      <w:r>
        <w:t xml:space="preserve"> (London: SCM Press, 1975), p.111.</w:t>
      </w:r>
    </w:p>
  </w:footnote>
  <w:footnote w:id="15">
    <w:p w14:paraId="258DCA00" w14:textId="77777777" w:rsidR="00847B36" w:rsidRDefault="00000000">
      <w:pPr>
        <w:pStyle w:val="FootnoteText"/>
      </w:pPr>
      <w:r>
        <w:rPr>
          <w:rStyle w:val="FootnoteReference"/>
        </w:rPr>
        <w:footnoteRef/>
      </w:r>
      <w:r>
        <w:t xml:space="preserve"> John Macquarrie., </w:t>
      </w:r>
      <w:r>
        <w:rPr>
          <w:i/>
          <w:iCs/>
        </w:rPr>
        <w:t>In Search of Deity</w:t>
      </w:r>
      <w:r>
        <w:t>, p.31.</w:t>
      </w:r>
    </w:p>
  </w:footnote>
  <w:footnote w:id="16">
    <w:p w14:paraId="4B8B2968" w14:textId="77777777" w:rsidR="00847B36" w:rsidRDefault="00000000">
      <w:pPr>
        <w:pStyle w:val="FootnoteText"/>
      </w:pPr>
      <w:r>
        <w:rPr>
          <w:rStyle w:val="FootnoteReference"/>
        </w:rPr>
        <w:footnoteRef/>
      </w:r>
      <w:r>
        <w:t xml:space="preserve"> </w:t>
      </w:r>
      <w:r>
        <w:rPr>
          <w:i/>
          <w:iCs/>
        </w:rPr>
        <w:t>Ibid</w:t>
      </w:r>
      <w:r>
        <w:t>., p. 31.</w:t>
      </w:r>
    </w:p>
  </w:footnote>
  <w:footnote w:id="17">
    <w:p w14:paraId="34C05898" w14:textId="77777777" w:rsidR="00847B36" w:rsidRDefault="00000000">
      <w:pPr>
        <w:pStyle w:val="FootnoteText"/>
      </w:pPr>
      <w:r>
        <w:rPr>
          <w:rStyle w:val="FootnoteReference"/>
        </w:rPr>
        <w:footnoteRef/>
      </w:r>
      <w:r>
        <w:t xml:space="preserve"> Aquinas., </w:t>
      </w:r>
      <w:r>
        <w:rPr>
          <w:i/>
          <w:iCs/>
        </w:rPr>
        <w:t>Summa Theologica</w:t>
      </w:r>
      <w:r>
        <w:t>, Vol 2, p. 113, (1a,q8,a3).</w:t>
      </w:r>
    </w:p>
  </w:footnote>
  <w:footnote w:id="18">
    <w:p w14:paraId="52138294" w14:textId="77777777" w:rsidR="00847B36" w:rsidRDefault="00000000">
      <w:pPr>
        <w:pStyle w:val="FootnoteText"/>
      </w:pPr>
      <w:r>
        <w:rPr>
          <w:rStyle w:val="FootnoteReference"/>
        </w:rPr>
        <w:footnoteRef/>
      </w:r>
      <w:r>
        <w:t xml:space="preserve"> Aquinas., </w:t>
      </w:r>
      <w:r>
        <w:rPr>
          <w:i/>
          <w:iCs/>
        </w:rPr>
        <w:t>Summa Theologica</w:t>
      </w:r>
      <w:r>
        <w:t>, Vol 2, p. 113, (1a,q8,a1).</w:t>
      </w:r>
    </w:p>
  </w:footnote>
  <w:footnote w:id="19">
    <w:p w14:paraId="51854CEB" w14:textId="77777777" w:rsidR="00847B36" w:rsidRDefault="00000000">
      <w:pPr>
        <w:pStyle w:val="FootnoteText"/>
      </w:pPr>
      <w:r>
        <w:rPr>
          <w:rStyle w:val="FootnoteReference"/>
        </w:rPr>
        <w:footnoteRef/>
      </w:r>
      <w:r>
        <w:t xml:space="preserve"> Dialectic here is to be understood as the clash of opposites, i.e. wholly transcendent and wholly immanent, or wholly impassible and wholly passable (check spell).</w:t>
      </w:r>
    </w:p>
  </w:footnote>
  <w:footnote w:id="20">
    <w:p w14:paraId="01E4B575" w14:textId="77777777" w:rsidR="00847B36" w:rsidRDefault="00000000">
      <w:pPr>
        <w:pStyle w:val="FootnoteText"/>
      </w:pPr>
      <w:r>
        <w:rPr>
          <w:rStyle w:val="FootnoteReference"/>
        </w:rPr>
        <w:footnoteRef/>
      </w:r>
      <w:r>
        <w:t xml:space="preserve"> Immanence means his knowable presence to his creatures and his creation in the world, of being accessible, open, near and within.</w:t>
      </w:r>
    </w:p>
  </w:footnote>
  <w:footnote w:id="21">
    <w:p w14:paraId="3E11F410" w14:textId="77777777" w:rsidR="00847B36" w:rsidRDefault="00000000">
      <w:pPr>
        <w:pStyle w:val="FootnoteText"/>
      </w:pPr>
      <w:r>
        <w:rPr>
          <w:rStyle w:val="FootnoteReference"/>
        </w:rPr>
        <w:footnoteRef/>
      </w:r>
      <w:r>
        <w:t xml:space="preserve"> </w:t>
      </w:r>
      <w:r>
        <w:rPr>
          <w:i/>
          <w:iCs/>
        </w:rPr>
        <w:t>Ibid</w:t>
      </w:r>
      <w:r>
        <w:t>., p. 27.</w:t>
      </w:r>
    </w:p>
  </w:footnote>
  <w:footnote w:id="22">
    <w:p w14:paraId="51CCEA3F" w14:textId="77777777" w:rsidR="00847B36" w:rsidRDefault="00000000">
      <w:pPr>
        <w:pStyle w:val="FootnoteText"/>
      </w:pPr>
      <w:r>
        <w:rPr>
          <w:rStyle w:val="FootnoteReference"/>
        </w:rPr>
        <w:footnoteRef/>
      </w:r>
      <w:r>
        <w:t xml:space="preserve"> </w:t>
      </w:r>
      <w:r>
        <w:rPr>
          <w:i/>
          <w:iCs/>
        </w:rPr>
        <w:t>Ibid</w:t>
      </w:r>
      <w:r>
        <w:t>., p. 16.</w:t>
      </w:r>
    </w:p>
  </w:footnote>
  <w:footnote w:id="23">
    <w:p w14:paraId="3D435AF6" w14:textId="77777777" w:rsidR="00847B36" w:rsidRDefault="00000000">
      <w:pPr>
        <w:pStyle w:val="FootnoteText"/>
      </w:pPr>
      <w:r>
        <w:rPr>
          <w:rStyle w:val="FootnoteReference"/>
        </w:rPr>
        <w:footnoteRef/>
      </w:r>
      <w:r>
        <w:t xml:space="preserve"> Macquarrie., </w:t>
      </w:r>
      <w:r>
        <w:rPr>
          <w:i/>
          <w:iCs/>
        </w:rPr>
        <w:t>Op.Cit</w:t>
      </w:r>
      <w:r>
        <w:t>, p. 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56A3" w14:textId="77777777" w:rsidR="00847B36"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098E9" w14:textId="77777777" w:rsidR="00847B36" w:rsidRDefault="00847B3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F7E5" w14:textId="77777777" w:rsidR="00847B36"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64BCA9C" w14:textId="77777777" w:rsidR="00847B36" w:rsidRDefault="00847B3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04"/>
    <w:rsid w:val="00145C55"/>
    <w:rsid w:val="004D5B68"/>
    <w:rsid w:val="004E3637"/>
    <w:rsid w:val="007669BC"/>
    <w:rsid w:val="00847B36"/>
    <w:rsid w:val="009526B0"/>
    <w:rsid w:val="00A125E2"/>
    <w:rsid w:val="00A733E5"/>
    <w:rsid w:val="00CA2A93"/>
    <w:rsid w:val="00DD5C9A"/>
    <w:rsid w:val="00ED7B04"/>
    <w:rsid w:val="00F005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91C3"/>
  <w15:chartTrackingRefBased/>
  <w15:docId w15:val="{4A0533FF-E0AC-49F6-A439-907D6216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1589</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Immanent means accessible, open and love</vt:lpstr>
    </vt:vector>
  </TitlesOfParts>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Immanent means accessible, open and love</dc:title>
  <dc:subject/>
  <dc:creator>F. Joshua Marion</dc:creator>
  <cp:keywords/>
  <dc:description/>
  <cp:lastModifiedBy>User</cp:lastModifiedBy>
  <cp:revision>3</cp:revision>
  <cp:lastPrinted>2001-08-16T04:00:00Z</cp:lastPrinted>
  <dcterms:created xsi:type="dcterms:W3CDTF">2025-11-08T11:41:00Z</dcterms:created>
  <dcterms:modified xsi:type="dcterms:W3CDTF">2025-12-12T14:21:00Z</dcterms:modified>
</cp:coreProperties>
</file>