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68982" w14:textId="77777777" w:rsidR="002275B2" w:rsidRPr="00612BA6" w:rsidRDefault="002275B2" w:rsidP="002275B2">
      <w:pPr>
        <w:pStyle w:val="Heading4"/>
        <w:rPr>
          <w:b/>
          <w:bCs/>
          <w:sz w:val="32"/>
          <w:szCs w:val="32"/>
        </w:rPr>
      </w:pPr>
      <w:r w:rsidRPr="00612BA6">
        <w:rPr>
          <w:b/>
          <w:bCs/>
          <w:sz w:val="32"/>
          <w:szCs w:val="32"/>
        </w:rPr>
        <w:t>From Communion and Relationship by F. Joshua Marion</w:t>
      </w:r>
    </w:p>
    <w:p w14:paraId="2DC5EF82" w14:textId="77777777" w:rsidR="002275B2" w:rsidRDefault="002275B2" w:rsidP="00784CC2">
      <w:pPr>
        <w:tabs>
          <w:tab w:val="left" w:pos="9180"/>
        </w:tabs>
        <w:jc w:val="both"/>
        <w:rPr>
          <w:b/>
          <w:bCs/>
        </w:rPr>
      </w:pPr>
    </w:p>
    <w:p w14:paraId="1D82194F" w14:textId="77777777" w:rsidR="00784CC2" w:rsidRDefault="00784CC2" w:rsidP="00784CC2">
      <w:pPr>
        <w:tabs>
          <w:tab w:val="left" w:pos="9180"/>
        </w:tabs>
        <w:jc w:val="both"/>
        <w:rPr>
          <w:b/>
          <w:bCs/>
        </w:rPr>
      </w:pPr>
      <w:r>
        <w:rPr>
          <w:b/>
          <w:bCs/>
        </w:rPr>
        <w:t xml:space="preserve">God as the </w:t>
      </w:r>
      <w:r>
        <w:rPr>
          <w:b/>
          <w:bCs/>
          <w:i/>
          <w:iCs/>
        </w:rPr>
        <w:t>Eternal Now</w:t>
      </w:r>
      <w:r>
        <w:rPr>
          <w:b/>
          <w:bCs/>
        </w:rPr>
        <w:t>:</w:t>
      </w:r>
    </w:p>
    <w:p w14:paraId="23119F54" w14:textId="77777777" w:rsidR="00784CC2" w:rsidRDefault="00784CC2" w:rsidP="00784CC2">
      <w:pPr>
        <w:tabs>
          <w:tab w:val="left" w:pos="9180"/>
        </w:tabs>
        <w:jc w:val="both"/>
        <w:rPr>
          <w:b/>
          <w:bCs/>
        </w:rPr>
      </w:pPr>
    </w:p>
    <w:p w14:paraId="761A12C2" w14:textId="77777777" w:rsidR="00784CC2" w:rsidRDefault="00784CC2" w:rsidP="00784CC2">
      <w:pPr>
        <w:tabs>
          <w:tab w:val="left" w:pos="720"/>
          <w:tab w:val="left" w:pos="9180"/>
        </w:tabs>
        <w:spacing w:line="480" w:lineRule="auto"/>
        <w:jc w:val="both"/>
      </w:pPr>
      <w:r>
        <w:tab/>
        <w:t>Many people see the world’s orderly chaos as coincidence or chance rather than a raw act of power. The idea of a God who is the puppet-master keeping all the universe under His tight control for the bringing about of His will is quite abhorrent to many. If God’s foreknowledge has set the world so that its destiny is already mapped out, we would have to wonder if we are not simply pawns on a chess board or actors playing out our scripts with seemingly no say over our lives. St Augustine’s answer to this dilemma is intriguing: “What we choose to do freely is done of necessity, because he whose foreknowledge cannot be deceived foreknew that we would choose to do it.”</w:t>
      </w:r>
      <w:r w:rsidRPr="00555A18">
        <w:rPr>
          <w:rStyle w:val="FootnoteReference"/>
        </w:rPr>
        <w:footnoteReference w:id="1"/>
      </w:r>
      <w:r>
        <w:t xml:space="preserve"> Aquinas adds to Augustine’s proposal the idea of the universality of the divine will as the cause of all things.</w:t>
      </w:r>
      <w:r w:rsidRPr="00555A18">
        <w:rPr>
          <w:rStyle w:val="FootnoteReference"/>
        </w:rPr>
        <w:footnoteReference w:id="2"/>
      </w:r>
      <w:r>
        <w:t xml:space="preserve"> This indicates how God foresees what is to happen, not as something in the future as other beings are to us who exist in time, but as an </w:t>
      </w:r>
      <w:r>
        <w:rPr>
          <w:b/>
          <w:bCs/>
          <w:i/>
          <w:iCs/>
        </w:rPr>
        <w:t>eternal now</w:t>
      </w:r>
      <w:r>
        <w:t>. His foresight does not, in any way, replace hindsight in the assessment of historical events because He knows things as they really are.</w:t>
      </w:r>
      <w:r w:rsidRPr="00555A18">
        <w:rPr>
          <w:rStyle w:val="FootnoteReference"/>
        </w:rPr>
        <w:footnoteReference w:id="3"/>
      </w:r>
      <w:r>
        <w:t xml:space="preserve"> </w:t>
      </w:r>
      <w:r>
        <w:rPr>
          <w:bCs/>
        </w:rPr>
        <w:t>This knowledge</w:t>
      </w:r>
      <w:r>
        <w:t xml:space="preserve"> provides for all possible potentialities including what He wills to further His love and what humans will. God “adapts his activity to the individuality of each person and situation, and has actually entered history himself as a particular agent (Jesus).”</w:t>
      </w:r>
      <w:r w:rsidRPr="00555A18">
        <w:rPr>
          <w:rStyle w:val="FootnoteReference"/>
        </w:rPr>
        <w:footnoteReference w:id="4"/>
      </w:r>
      <w:r>
        <w:t xml:space="preserve"> </w:t>
      </w:r>
      <w:r>
        <w:rPr>
          <w:bCs/>
        </w:rPr>
        <w:t>He is like</w:t>
      </w:r>
      <w:r>
        <w:t xml:space="preserve"> a skilful chess player, who, whatever move His opponent will make, can bring the game around to the way He intends it to go.</w:t>
      </w:r>
      <w:r w:rsidRPr="00555A18">
        <w:rPr>
          <w:rStyle w:val="FootnoteReference"/>
        </w:rPr>
        <w:footnoteReference w:id="5"/>
      </w:r>
      <w:r>
        <w:t xml:space="preserve"> This permits God’s purpose to be infallibly completed without, at the same time, forcing any person’s choice to be made either for God or against God.</w:t>
      </w:r>
      <w:r w:rsidRPr="00555A18">
        <w:rPr>
          <w:rStyle w:val="FootnoteReference"/>
        </w:rPr>
        <w:footnoteReference w:id="6"/>
      </w:r>
    </w:p>
    <w:p w14:paraId="614E93FC" w14:textId="77777777" w:rsidR="00784CC2" w:rsidRDefault="00784CC2" w:rsidP="00784CC2">
      <w:pPr>
        <w:tabs>
          <w:tab w:val="left" w:pos="9180"/>
        </w:tabs>
        <w:spacing w:line="480" w:lineRule="auto"/>
        <w:jc w:val="both"/>
      </w:pPr>
    </w:p>
    <w:p w14:paraId="21D2C68B" w14:textId="77777777" w:rsidR="00BF5203" w:rsidRDefault="00BF5203" w:rsidP="00784CC2">
      <w:pPr>
        <w:tabs>
          <w:tab w:val="left" w:pos="900"/>
          <w:tab w:val="left" w:pos="9180"/>
        </w:tabs>
        <w:jc w:val="both"/>
        <w:rPr>
          <w:b/>
          <w:bCs/>
        </w:rPr>
      </w:pPr>
    </w:p>
    <w:p w14:paraId="1E901FF6" w14:textId="5B2B290D" w:rsidR="00784CC2" w:rsidRDefault="00784CC2" w:rsidP="00784CC2">
      <w:pPr>
        <w:tabs>
          <w:tab w:val="left" w:pos="900"/>
          <w:tab w:val="left" w:pos="9180"/>
        </w:tabs>
        <w:jc w:val="both"/>
        <w:rPr>
          <w:b/>
          <w:bCs/>
        </w:rPr>
      </w:pPr>
      <w:r>
        <w:rPr>
          <w:b/>
          <w:bCs/>
        </w:rPr>
        <w:lastRenderedPageBreak/>
        <w:t>We too Become Creative and Sustaining:</w:t>
      </w:r>
    </w:p>
    <w:p w14:paraId="1A26EC0C" w14:textId="77777777" w:rsidR="00784CC2" w:rsidRDefault="00784CC2" w:rsidP="00784CC2">
      <w:pPr>
        <w:tabs>
          <w:tab w:val="left" w:pos="900"/>
          <w:tab w:val="left" w:pos="9180"/>
        </w:tabs>
        <w:jc w:val="both"/>
        <w:rPr>
          <w:b/>
          <w:bCs/>
        </w:rPr>
      </w:pPr>
    </w:p>
    <w:p w14:paraId="623A4D5E" w14:textId="77777777" w:rsidR="00784CC2" w:rsidRDefault="00784CC2" w:rsidP="00784CC2">
      <w:pPr>
        <w:tabs>
          <w:tab w:val="left" w:pos="720"/>
          <w:tab w:val="left" w:pos="9180"/>
        </w:tabs>
        <w:spacing w:line="480" w:lineRule="auto"/>
        <w:jc w:val="both"/>
      </w:pPr>
      <w:r>
        <w:tab/>
        <w:t xml:space="preserve">God interacts with His creation without overpowering it and at the same time allowing His creatures to participate in the divine being to such a degree that they are empowered to become </w:t>
      </w:r>
      <w:r>
        <w:rPr>
          <w:b/>
          <w:bCs/>
          <w:i/>
          <w:iCs/>
        </w:rPr>
        <w:t>creative</w:t>
      </w:r>
      <w:r>
        <w:t xml:space="preserve"> and </w:t>
      </w:r>
      <w:r>
        <w:rPr>
          <w:b/>
          <w:bCs/>
          <w:i/>
          <w:iCs/>
        </w:rPr>
        <w:t>sustaining</w:t>
      </w:r>
      <w:r>
        <w:t xml:space="preserve"> in their own right </w:t>
      </w:r>
      <w:r>
        <w:rPr>
          <w:b/>
          <w:bCs/>
        </w:rPr>
        <w:t>for others</w:t>
      </w:r>
      <w:r>
        <w:t xml:space="preserve">. Aquinas saw that all that exists </w:t>
      </w:r>
      <w:r>
        <w:rPr>
          <w:i/>
          <w:iCs/>
        </w:rPr>
        <w:t>participates</w:t>
      </w:r>
      <w:r>
        <w:t xml:space="preserve"> in the divine being by the fact of its existence: “The rational creature is subjected to providence, insofar as it partakes of a share of providence, by being provident both for itself and for others.”</w:t>
      </w:r>
      <w:r w:rsidRPr="00555A18">
        <w:rPr>
          <w:rStyle w:val="FootnoteReference"/>
        </w:rPr>
        <w:footnoteReference w:id="7"/>
      </w:r>
      <w:r>
        <w:t xml:space="preserve"> In other words, God works not only upon but also through human beings. “God alone is actual being through divine essence itself, while other beings are actual beings through </w:t>
      </w:r>
      <w:r>
        <w:rPr>
          <w:i/>
          <w:iCs/>
        </w:rPr>
        <w:t>participation</w:t>
      </w:r>
      <w:r>
        <w:t>.”</w:t>
      </w:r>
      <w:r w:rsidRPr="00555A18">
        <w:rPr>
          <w:rStyle w:val="FootnoteReference"/>
        </w:rPr>
        <w:footnoteReference w:id="8"/>
      </w:r>
      <w:r>
        <w:t xml:space="preserve"> If God is perceived by Aquinas as the ‘first cause’ then creatures can be seen as secondary causes, “moved movers who receive from God their form and power to act with independence.”</w:t>
      </w:r>
      <w:r w:rsidRPr="00555A18">
        <w:rPr>
          <w:rStyle w:val="FootnoteReference"/>
        </w:rPr>
        <w:footnoteReference w:id="9"/>
      </w:r>
      <w:r>
        <w:t xml:space="preserve"> God influences our thoughts, words and action, and </w:t>
      </w:r>
      <w:r>
        <w:rPr>
          <w:b/>
          <w:bCs/>
          <w:i/>
          <w:iCs/>
        </w:rPr>
        <w:t>we influence others</w:t>
      </w:r>
      <w:r>
        <w:t>. The care for the earth has been entrusted to humanity and so the providence of God invites us to participate in the divine ordering of the universe.</w:t>
      </w:r>
      <w:r w:rsidRPr="00555A18">
        <w:rPr>
          <w:rStyle w:val="FootnoteReference"/>
        </w:rPr>
        <w:footnoteReference w:id="10"/>
      </w:r>
      <w:r>
        <w:t xml:space="preserve"> Consequently, our dependence on God and the giving of ourselves to His divine will </w:t>
      </w:r>
      <w:r>
        <w:rPr>
          <w:i/>
          <w:iCs/>
        </w:rPr>
        <w:t>increase</w:t>
      </w:r>
      <w:r>
        <w:t xml:space="preserve"> genuine human autonomy, rather than decrease it. God </w:t>
      </w:r>
      <w:r>
        <w:rPr>
          <w:b/>
          <w:bCs/>
          <w:i/>
          <w:iCs/>
        </w:rPr>
        <w:t>empowers</w:t>
      </w:r>
      <w:r>
        <w:t xml:space="preserve"> humankind so that through their own natural actions they tend towards what is the good, the very thing that God is. God is glorified not in the diminishing of His creatures but in the flourishing of their being.</w:t>
      </w:r>
    </w:p>
    <w:p w14:paraId="71B6F426" w14:textId="77777777" w:rsidR="00BD7716" w:rsidRDefault="00BD7716"/>
    <w:sectPr w:rsidR="00BD77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969CC" w14:textId="77777777" w:rsidR="000B2591" w:rsidRDefault="000B2591" w:rsidP="00784CC2">
      <w:r>
        <w:separator/>
      </w:r>
    </w:p>
  </w:endnote>
  <w:endnote w:type="continuationSeparator" w:id="0">
    <w:p w14:paraId="2AB29B6A" w14:textId="77777777" w:rsidR="000B2591" w:rsidRDefault="000B2591" w:rsidP="00784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BEAEC" w14:textId="77777777" w:rsidR="000B2591" w:rsidRDefault="000B2591" w:rsidP="00784CC2">
      <w:r>
        <w:separator/>
      </w:r>
    </w:p>
  </w:footnote>
  <w:footnote w:type="continuationSeparator" w:id="0">
    <w:p w14:paraId="453CD5A2" w14:textId="77777777" w:rsidR="000B2591" w:rsidRDefault="000B2591" w:rsidP="00784CC2">
      <w:r>
        <w:continuationSeparator/>
      </w:r>
    </w:p>
  </w:footnote>
  <w:footnote w:id="1">
    <w:p w14:paraId="1260D7AB" w14:textId="77777777" w:rsidR="00784CC2" w:rsidRDefault="00784CC2" w:rsidP="00784CC2">
      <w:pPr>
        <w:pStyle w:val="FootnoteText"/>
      </w:pPr>
      <w:r w:rsidRPr="00555A18">
        <w:rPr>
          <w:rStyle w:val="FootnoteReference"/>
        </w:rPr>
        <w:footnoteRef/>
      </w:r>
      <w:r>
        <w:t xml:space="preserve"> Augustine, </w:t>
      </w:r>
      <w:r>
        <w:rPr>
          <w:i/>
          <w:iCs/>
        </w:rPr>
        <w:t>CG</w:t>
      </w:r>
      <w:r>
        <w:t xml:space="preserve"> 9.</w:t>
      </w:r>
    </w:p>
  </w:footnote>
  <w:footnote w:id="2">
    <w:p w14:paraId="283E7C89" w14:textId="77777777" w:rsidR="00784CC2" w:rsidRDefault="00784CC2" w:rsidP="00784CC2">
      <w:pPr>
        <w:pStyle w:val="FootnoteText"/>
      </w:pPr>
      <w:r w:rsidRPr="00555A18">
        <w:rPr>
          <w:rStyle w:val="FootnoteReference"/>
        </w:rPr>
        <w:footnoteRef/>
      </w:r>
      <w:r>
        <w:t xml:space="preserve"> Aquinas, </w:t>
      </w:r>
      <w:proofErr w:type="spellStart"/>
      <w:proofErr w:type="gramStart"/>
      <w:r>
        <w:rPr>
          <w:i/>
          <w:iCs/>
        </w:rPr>
        <w:t>Op.Cit</w:t>
      </w:r>
      <w:proofErr w:type="spellEnd"/>
      <w:proofErr w:type="gramEnd"/>
      <w:r>
        <w:t>, 1a, q19, a6.</w:t>
      </w:r>
    </w:p>
  </w:footnote>
  <w:footnote w:id="3">
    <w:p w14:paraId="003C5D34" w14:textId="77777777" w:rsidR="00784CC2" w:rsidRDefault="00784CC2" w:rsidP="00784CC2">
      <w:pPr>
        <w:pStyle w:val="FootnoteText"/>
      </w:pPr>
      <w:r w:rsidRPr="00555A18">
        <w:rPr>
          <w:rStyle w:val="FootnoteReference"/>
        </w:rPr>
        <w:footnoteRef/>
      </w:r>
      <w:r>
        <w:t xml:space="preserve"> </w:t>
      </w:r>
      <w:r>
        <w:rPr>
          <w:i/>
          <w:iCs/>
        </w:rPr>
        <w:t>Ibid</w:t>
      </w:r>
      <w:r>
        <w:t>, 1a, q14, a13.</w:t>
      </w:r>
    </w:p>
  </w:footnote>
  <w:footnote w:id="4">
    <w:p w14:paraId="26D047AB" w14:textId="77777777" w:rsidR="00784CC2" w:rsidRDefault="00784CC2" w:rsidP="00784CC2">
      <w:pPr>
        <w:pStyle w:val="FootnoteText"/>
      </w:pPr>
      <w:r w:rsidRPr="00555A18">
        <w:rPr>
          <w:rStyle w:val="FootnoteReference"/>
        </w:rPr>
        <w:footnoteRef/>
      </w:r>
      <w:r>
        <w:t xml:space="preserve"> Robert P. Maloney, “Providence Revisited”, </w:t>
      </w:r>
      <w:r>
        <w:rPr>
          <w:i/>
          <w:iCs/>
        </w:rPr>
        <w:t>Review for Religious</w:t>
      </w:r>
      <w:r>
        <w:t>, (1995) March-April, 217, 219-220.</w:t>
      </w:r>
    </w:p>
  </w:footnote>
  <w:footnote w:id="5">
    <w:p w14:paraId="1F5A324F" w14:textId="77777777" w:rsidR="00784CC2" w:rsidRDefault="00784CC2" w:rsidP="00784CC2">
      <w:pPr>
        <w:pStyle w:val="FootnoteText"/>
      </w:pPr>
      <w:r w:rsidRPr="00555A18">
        <w:rPr>
          <w:rStyle w:val="FootnoteReference"/>
        </w:rPr>
        <w:footnoteRef/>
      </w:r>
      <w:r>
        <w:t xml:space="preserve"> </w:t>
      </w:r>
      <w:proofErr w:type="spellStart"/>
      <w:r>
        <w:t>Macquarrie</w:t>
      </w:r>
      <w:proofErr w:type="spellEnd"/>
      <w:r>
        <w:t xml:space="preserve">, </w:t>
      </w:r>
      <w:r>
        <w:rPr>
          <w:i/>
          <w:iCs/>
        </w:rPr>
        <w:t>Principles of Christian Theology</w:t>
      </w:r>
      <w:r>
        <w:t>, 246.</w:t>
      </w:r>
    </w:p>
  </w:footnote>
  <w:footnote w:id="6">
    <w:p w14:paraId="6248B1A0" w14:textId="77777777" w:rsidR="00784CC2" w:rsidRDefault="00784CC2" w:rsidP="00784CC2">
      <w:pPr>
        <w:pStyle w:val="FootnoteText"/>
      </w:pPr>
      <w:r w:rsidRPr="00555A18">
        <w:rPr>
          <w:rStyle w:val="FootnoteReference"/>
        </w:rPr>
        <w:footnoteRef/>
      </w:r>
      <w:r>
        <w:t xml:space="preserve"> Fagan, </w:t>
      </w:r>
      <w:r>
        <w:rPr>
          <w:i/>
          <w:iCs/>
        </w:rPr>
        <w:t>The New Dictionary of Catholic Theology</w:t>
      </w:r>
      <w:r>
        <w:t>, 817ff.</w:t>
      </w:r>
    </w:p>
  </w:footnote>
  <w:footnote w:id="7">
    <w:p w14:paraId="19D3386B" w14:textId="77777777" w:rsidR="00784CC2" w:rsidRDefault="00784CC2" w:rsidP="00784CC2">
      <w:pPr>
        <w:pStyle w:val="FootnoteText"/>
      </w:pPr>
      <w:r w:rsidRPr="00555A18">
        <w:rPr>
          <w:rStyle w:val="FootnoteReference"/>
        </w:rPr>
        <w:footnoteRef/>
      </w:r>
      <w:r>
        <w:t xml:space="preserve"> </w:t>
      </w:r>
      <w:r>
        <w:rPr>
          <w:i/>
          <w:iCs/>
        </w:rPr>
        <w:t>Aquinas</w:t>
      </w:r>
      <w:r>
        <w:t xml:space="preserve">, </w:t>
      </w:r>
      <w:proofErr w:type="spellStart"/>
      <w:proofErr w:type="gramStart"/>
      <w:r>
        <w:rPr>
          <w:i/>
          <w:iCs/>
        </w:rPr>
        <w:t>Op.Cit</w:t>
      </w:r>
      <w:proofErr w:type="spellEnd"/>
      <w:proofErr w:type="gramEnd"/>
      <w:r>
        <w:t>, 1a, q91, a2.</w:t>
      </w:r>
    </w:p>
  </w:footnote>
  <w:footnote w:id="8">
    <w:p w14:paraId="57282CEC" w14:textId="77777777" w:rsidR="00784CC2" w:rsidRDefault="00784CC2" w:rsidP="00784CC2">
      <w:pPr>
        <w:pStyle w:val="FootnoteText"/>
      </w:pPr>
      <w:r w:rsidRPr="00555A18">
        <w:rPr>
          <w:rStyle w:val="FootnoteReference"/>
        </w:rPr>
        <w:footnoteRef/>
      </w:r>
      <w:r>
        <w:t xml:space="preserve"> </w:t>
      </w:r>
      <w:r>
        <w:rPr>
          <w:i/>
          <w:iCs/>
        </w:rPr>
        <w:t>Ibid</w:t>
      </w:r>
      <w:r>
        <w:t>, Part 1, qq103-109.</w:t>
      </w:r>
    </w:p>
  </w:footnote>
  <w:footnote w:id="9">
    <w:p w14:paraId="3B504196" w14:textId="77777777" w:rsidR="00784CC2" w:rsidRDefault="00784CC2" w:rsidP="00784CC2">
      <w:pPr>
        <w:rPr>
          <w:sz w:val="20"/>
        </w:rPr>
      </w:pPr>
      <w:r w:rsidRPr="00555A18">
        <w:rPr>
          <w:rStyle w:val="FootnoteReference"/>
        </w:rPr>
        <w:footnoteRef/>
      </w:r>
      <w:r>
        <w:rPr>
          <w:sz w:val="20"/>
        </w:rPr>
        <w:t xml:space="preserve"> Elizabeth Johnson, “Does God Play Dice? Divine Providence and Chance”, </w:t>
      </w:r>
      <w:r>
        <w:rPr>
          <w:i/>
          <w:iCs/>
          <w:sz w:val="20"/>
        </w:rPr>
        <w:t>Theological Studies</w:t>
      </w:r>
      <w:r>
        <w:rPr>
          <w:sz w:val="20"/>
        </w:rPr>
        <w:t xml:space="preserve"> 57 (1996), 11-12.</w:t>
      </w:r>
    </w:p>
  </w:footnote>
  <w:footnote w:id="10">
    <w:p w14:paraId="10F0E7E5" w14:textId="77777777" w:rsidR="00784CC2" w:rsidRDefault="00784CC2" w:rsidP="00784CC2">
      <w:pPr>
        <w:pStyle w:val="FootnoteText"/>
      </w:pPr>
      <w:r w:rsidRPr="00555A18">
        <w:rPr>
          <w:rStyle w:val="FootnoteReference"/>
        </w:rPr>
        <w:footnoteRef/>
      </w:r>
      <w:r>
        <w:t xml:space="preserve"> For human beings as stewards of creation see Gen 1:28ff. Michael Downey, ed, </w:t>
      </w:r>
      <w:r>
        <w:rPr>
          <w:i/>
          <w:iCs/>
        </w:rPr>
        <w:t>The New Dictionary of Catholic Spirituality</w:t>
      </w:r>
      <w:r>
        <w:t>, (Collegeville, MN: The Liturgical Press) 2000, c1993.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CC2"/>
    <w:rsid w:val="000B0680"/>
    <w:rsid w:val="000B2591"/>
    <w:rsid w:val="000C24D4"/>
    <w:rsid w:val="00136DBD"/>
    <w:rsid w:val="001C68DF"/>
    <w:rsid w:val="002275B2"/>
    <w:rsid w:val="004B5495"/>
    <w:rsid w:val="004E3AF4"/>
    <w:rsid w:val="00545A35"/>
    <w:rsid w:val="00555A18"/>
    <w:rsid w:val="00784CC2"/>
    <w:rsid w:val="009E4F7D"/>
    <w:rsid w:val="00BD7716"/>
    <w:rsid w:val="00BF5203"/>
    <w:rsid w:val="00D72417"/>
    <w:rsid w:val="00DA32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BE0B7"/>
  <w15:chartTrackingRefBased/>
  <w15:docId w15:val="{B25CF25B-5C5D-4764-BB90-FEDB6C574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CC2"/>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784CC2"/>
    <w:pPr>
      <w:keepNext/>
      <w:keepLines/>
      <w:spacing w:before="360" w:after="80" w:line="278" w:lineRule="auto"/>
      <w:outlineLvl w:val="0"/>
    </w:pPr>
    <w:rPr>
      <w:rFonts w:ascii="Aptos Display" w:hAnsi="Aptos Display"/>
      <w:color w:val="0F4761"/>
      <w:kern w:val="2"/>
      <w:sz w:val="40"/>
      <w:szCs w:val="40"/>
    </w:rPr>
  </w:style>
  <w:style w:type="paragraph" w:styleId="Heading2">
    <w:name w:val="heading 2"/>
    <w:basedOn w:val="Normal"/>
    <w:next w:val="Normal"/>
    <w:link w:val="Heading2Char"/>
    <w:uiPriority w:val="9"/>
    <w:semiHidden/>
    <w:unhideWhenUsed/>
    <w:qFormat/>
    <w:rsid w:val="00784CC2"/>
    <w:pPr>
      <w:keepNext/>
      <w:keepLines/>
      <w:spacing w:before="160" w:after="80" w:line="278" w:lineRule="auto"/>
      <w:outlineLvl w:val="1"/>
    </w:pPr>
    <w:rPr>
      <w:rFonts w:ascii="Aptos Display" w:hAnsi="Aptos Display"/>
      <w:color w:val="0F4761"/>
      <w:kern w:val="2"/>
      <w:sz w:val="32"/>
      <w:szCs w:val="32"/>
    </w:rPr>
  </w:style>
  <w:style w:type="paragraph" w:styleId="Heading3">
    <w:name w:val="heading 3"/>
    <w:basedOn w:val="Normal"/>
    <w:next w:val="Normal"/>
    <w:link w:val="Heading3Char"/>
    <w:uiPriority w:val="9"/>
    <w:semiHidden/>
    <w:unhideWhenUsed/>
    <w:qFormat/>
    <w:rsid w:val="00784CC2"/>
    <w:pPr>
      <w:keepNext/>
      <w:keepLines/>
      <w:spacing w:before="160" w:after="80" w:line="278" w:lineRule="auto"/>
      <w:outlineLvl w:val="2"/>
    </w:pPr>
    <w:rPr>
      <w:rFonts w:ascii="Aptos" w:hAnsi="Aptos"/>
      <w:color w:val="0F4761"/>
      <w:kern w:val="2"/>
      <w:sz w:val="28"/>
      <w:szCs w:val="28"/>
    </w:rPr>
  </w:style>
  <w:style w:type="paragraph" w:styleId="Heading4">
    <w:name w:val="heading 4"/>
    <w:basedOn w:val="Normal"/>
    <w:next w:val="Normal"/>
    <w:link w:val="Heading4Char"/>
    <w:unhideWhenUsed/>
    <w:qFormat/>
    <w:rsid w:val="00784CC2"/>
    <w:pPr>
      <w:keepNext/>
      <w:keepLines/>
      <w:spacing w:before="80" w:after="40" w:line="278" w:lineRule="auto"/>
      <w:outlineLvl w:val="3"/>
    </w:pPr>
    <w:rPr>
      <w:rFonts w:ascii="Aptos" w:hAnsi="Aptos"/>
      <w:i/>
      <w:iCs/>
      <w:color w:val="0F4761"/>
      <w:kern w:val="2"/>
    </w:rPr>
  </w:style>
  <w:style w:type="paragraph" w:styleId="Heading5">
    <w:name w:val="heading 5"/>
    <w:basedOn w:val="Normal"/>
    <w:next w:val="Normal"/>
    <w:link w:val="Heading5Char"/>
    <w:uiPriority w:val="9"/>
    <w:semiHidden/>
    <w:unhideWhenUsed/>
    <w:qFormat/>
    <w:rsid w:val="00784CC2"/>
    <w:pPr>
      <w:keepNext/>
      <w:keepLines/>
      <w:spacing w:before="80" w:after="40" w:line="278" w:lineRule="auto"/>
      <w:outlineLvl w:val="4"/>
    </w:pPr>
    <w:rPr>
      <w:rFonts w:ascii="Aptos" w:hAnsi="Aptos"/>
      <w:color w:val="0F4761"/>
      <w:kern w:val="2"/>
    </w:rPr>
  </w:style>
  <w:style w:type="paragraph" w:styleId="Heading6">
    <w:name w:val="heading 6"/>
    <w:basedOn w:val="Normal"/>
    <w:next w:val="Normal"/>
    <w:link w:val="Heading6Char"/>
    <w:uiPriority w:val="9"/>
    <w:semiHidden/>
    <w:unhideWhenUsed/>
    <w:qFormat/>
    <w:rsid w:val="00784CC2"/>
    <w:pPr>
      <w:keepNext/>
      <w:keepLines/>
      <w:spacing w:before="40" w:line="278" w:lineRule="auto"/>
      <w:outlineLvl w:val="5"/>
    </w:pPr>
    <w:rPr>
      <w:rFonts w:ascii="Aptos" w:hAnsi="Aptos"/>
      <w:i/>
      <w:iCs/>
      <w:color w:val="595959"/>
      <w:kern w:val="2"/>
    </w:rPr>
  </w:style>
  <w:style w:type="paragraph" w:styleId="Heading7">
    <w:name w:val="heading 7"/>
    <w:basedOn w:val="Normal"/>
    <w:next w:val="Normal"/>
    <w:link w:val="Heading7Char"/>
    <w:uiPriority w:val="9"/>
    <w:semiHidden/>
    <w:unhideWhenUsed/>
    <w:qFormat/>
    <w:rsid w:val="00784CC2"/>
    <w:pPr>
      <w:keepNext/>
      <w:keepLines/>
      <w:spacing w:before="40" w:line="278" w:lineRule="auto"/>
      <w:outlineLvl w:val="6"/>
    </w:pPr>
    <w:rPr>
      <w:rFonts w:ascii="Aptos" w:hAnsi="Aptos"/>
      <w:color w:val="595959"/>
      <w:kern w:val="2"/>
    </w:rPr>
  </w:style>
  <w:style w:type="paragraph" w:styleId="Heading8">
    <w:name w:val="heading 8"/>
    <w:basedOn w:val="Normal"/>
    <w:next w:val="Normal"/>
    <w:link w:val="Heading8Char"/>
    <w:uiPriority w:val="9"/>
    <w:semiHidden/>
    <w:unhideWhenUsed/>
    <w:qFormat/>
    <w:rsid w:val="00784CC2"/>
    <w:pPr>
      <w:keepNext/>
      <w:keepLines/>
      <w:spacing w:line="278" w:lineRule="auto"/>
      <w:outlineLvl w:val="7"/>
    </w:pPr>
    <w:rPr>
      <w:rFonts w:ascii="Aptos" w:hAnsi="Aptos"/>
      <w:i/>
      <w:iCs/>
      <w:color w:val="272727"/>
      <w:kern w:val="2"/>
    </w:rPr>
  </w:style>
  <w:style w:type="paragraph" w:styleId="Heading9">
    <w:name w:val="heading 9"/>
    <w:basedOn w:val="Normal"/>
    <w:next w:val="Normal"/>
    <w:link w:val="Heading9Char"/>
    <w:uiPriority w:val="9"/>
    <w:semiHidden/>
    <w:unhideWhenUsed/>
    <w:qFormat/>
    <w:rsid w:val="00784CC2"/>
    <w:pPr>
      <w:keepNext/>
      <w:keepLines/>
      <w:spacing w:line="278" w:lineRule="auto"/>
      <w:outlineLvl w:val="8"/>
    </w:pPr>
    <w:rPr>
      <w:rFonts w:ascii="Aptos" w:hAnsi="Aptos"/>
      <w:color w:val="272727"/>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84CC2"/>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784CC2"/>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784CC2"/>
    <w:rPr>
      <w:rFonts w:eastAsia="Times New Roman" w:cs="Times New Roman"/>
      <w:color w:val="0F4761"/>
      <w:sz w:val="28"/>
      <w:szCs w:val="28"/>
    </w:rPr>
  </w:style>
  <w:style w:type="character" w:customStyle="1" w:styleId="Heading4Char">
    <w:name w:val="Heading 4 Char"/>
    <w:link w:val="Heading4"/>
    <w:rsid w:val="00784CC2"/>
    <w:rPr>
      <w:rFonts w:eastAsia="Times New Roman" w:cs="Times New Roman"/>
      <w:i/>
      <w:iCs/>
      <w:color w:val="0F4761"/>
    </w:rPr>
  </w:style>
  <w:style w:type="character" w:customStyle="1" w:styleId="Heading5Char">
    <w:name w:val="Heading 5 Char"/>
    <w:link w:val="Heading5"/>
    <w:uiPriority w:val="9"/>
    <w:semiHidden/>
    <w:rsid w:val="00784CC2"/>
    <w:rPr>
      <w:rFonts w:eastAsia="Times New Roman" w:cs="Times New Roman"/>
      <w:color w:val="0F4761"/>
    </w:rPr>
  </w:style>
  <w:style w:type="character" w:customStyle="1" w:styleId="Heading6Char">
    <w:name w:val="Heading 6 Char"/>
    <w:link w:val="Heading6"/>
    <w:uiPriority w:val="9"/>
    <w:semiHidden/>
    <w:rsid w:val="00784CC2"/>
    <w:rPr>
      <w:rFonts w:eastAsia="Times New Roman" w:cs="Times New Roman"/>
      <w:i/>
      <w:iCs/>
      <w:color w:val="595959"/>
    </w:rPr>
  </w:style>
  <w:style w:type="character" w:customStyle="1" w:styleId="Heading7Char">
    <w:name w:val="Heading 7 Char"/>
    <w:link w:val="Heading7"/>
    <w:uiPriority w:val="9"/>
    <w:semiHidden/>
    <w:rsid w:val="00784CC2"/>
    <w:rPr>
      <w:rFonts w:eastAsia="Times New Roman" w:cs="Times New Roman"/>
      <w:color w:val="595959"/>
    </w:rPr>
  </w:style>
  <w:style w:type="character" w:customStyle="1" w:styleId="Heading8Char">
    <w:name w:val="Heading 8 Char"/>
    <w:link w:val="Heading8"/>
    <w:uiPriority w:val="9"/>
    <w:semiHidden/>
    <w:rsid w:val="00784CC2"/>
    <w:rPr>
      <w:rFonts w:eastAsia="Times New Roman" w:cs="Times New Roman"/>
      <w:i/>
      <w:iCs/>
      <w:color w:val="272727"/>
    </w:rPr>
  </w:style>
  <w:style w:type="character" w:customStyle="1" w:styleId="Heading9Char">
    <w:name w:val="Heading 9 Char"/>
    <w:link w:val="Heading9"/>
    <w:uiPriority w:val="9"/>
    <w:semiHidden/>
    <w:rsid w:val="00784CC2"/>
    <w:rPr>
      <w:rFonts w:eastAsia="Times New Roman" w:cs="Times New Roman"/>
      <w:color w:val="272727"/>
    </w:rPr>
  </w:style>
  <w:style w:type="paragraph" w:styleId="Title">
    <w:name w:val="Title"/>
    <w:basedOn w:val="Normal"/>
    <w:next w:val="Normal"/>
    <w:link w:val="TitleChar"/>
    <w:uiPriority w:val="10"/>
    <w:qFormat/>
    <w:rsid w:val="00784CC2"/>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784CC2"/>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784CC2"/>
    <w:pPr>
      <w:numPr>
        <w:ilvl w:val="1"/>
      </w:numPr>
      <w:spacing w:after="160" w:line="278" w:lineRule="auto"/>
    </w:pPr>
    <w:rPr>
      <w:rFonts w:ascii="Aptos" w:hAnsi="Aptos"/>
      <w:color w:val="595959"/>
      <w:spacing w:val="15"/>
      <w:kern w:val="2"/>
      <w:sz w:val="28"/>
      <w:szCs w:val="28"/>
    </w:rPr>
  </w:style>
  <w:style w:type="character" w:customStyle="1" w:styleId="SubtitleChar">
    <w:name w:val="Subtitle Char"/>
    <w:link w:val="Subtitle"/>
    <w:uiPriority w:val="11"/>
    <w:rsid w:val="00784CC2"/>
    <w:rPr>
      <w:rFonts w:eastAsia="Times New Roman" w:cs="Times New Roman"/>
      <w:color w:val="595959"/>
      <w:spacing w:val="15"/>
      <w:sz w:val="28"/>
      <w:szCs w:val="28"/>
    </w:rPr>
  </w:style>
  <w:style w:type="paragraph" w:styleId="Quote">
    <w:name w:val="Quote"/>
    <w:basedOn w:val="Normal"/>
    <w:next w:val="Normal"/>
    <w:link w:val="QuoteChar"/>
    <w:uiPriority w:val="29"/>
    <w:qFormat/>
    <w:rsid w:val="00784CC2"/>
    <w:pPr>
      <w:spacing w:before="160" w:after="160" w:line="278" w:lineRule="auto"/>
      <w:jc w:val="center"/>
    </w:pPr>
    <w:rPr>
      <w:rFonts w:ascii="Aptos" w:eastAsia="Aptos" w:hAnsi="Aptos"/>
      <w:i/>
      <w:iCs/>
      <w:color w:val="404040"/>
      <w:kern w:val="2"/>
    </w:rPr>
  </w:style>
  <w:style w:type="character" w:customStyle="1" w:styleId="QuoteChar">
    <w:name w:val="Quote Char"/>
    <w:link w:val="Quote"/>
    <w:uiPriority w:val="29"/>
    <w:rsid w:val="00784CC2"/>
    <w:rPr>
      <w:i/>
      <w:iCs/>
      <w:color w:val="404040"/>
    </w:rPr>
  </w:style>
  <w:style w:type="paragraph" w:styleId="ListParagraph">
    <w:name w:val="List Paragraph"/>
    <w:basedOn w:val="Normal"/>
    <w:uiPriority w:val="34"/>
    <w:qFormat/>
    <w:rsid w:val="00784CC2"/>
    <w:pPr>
      <w:spacing w:after="160" w:line="278" w:lineRule="auto"/>
      <w:ind w:left="720"/>
      <w:contextualSpacing/>
    </w:pPr>
    <w:rPr>
      <w:rFonts w:ascii="Aptos" w:eastAsia="Aptos" w:hAnsi="Aptos"/>
      <w:kern w:val="2"/>
    </w:rPr>
  </w:style>
  <w:style w:type="character" w:styleId="IntenseEmphasis">
    <w:name w:val="Intense Emphasis"/>
    <w:uiPriority w:val="21"/>
    <w:qFormat/>
    <w:rsid w:val="00784CC2"/>
    <w:rPr>
      <w:i/>
      <w:iCs/>
      <w:color w:val="0F4761"/>
    </w:rPr>
  </w:style>
  <w:style w:type="paragraph" w:styleId="IntenseQuote">
    <w:name w:val="Intense Quote"/>
    <w:basedOn w:val="Normal"/>
    <w:next w:val="Normal"/>
    <w:link w:val="IntenseQuoteChar"/>
    <w:uiPriority w:val="30"/>
    <w:qFormat/>
    <w:rsid w:val="00784CC2"/>
    <w:pPr>
      <w:pBdr>
        <w:top w:val="single" w:sz="4" w:space="10" w:color="0F4761"/>
        <w:bottom w:val="single" w:sz="4" w:space="10" w:color="0F4761"/>
      </w:pBdr>
      <w:spacing w:before="360" w:after="360" w:line="278" w:lineRule="auto"/>
      <w:ind w:left="864" w:right="864"/>
      <w:jc w:val="center"/>
    </w:pPr>
    <w:rPr>
      <w:rFonts w:ascii="Aptos" w:eastAsia="Aptos" w:hAnsi="Aptos"/>
      <w:i/>
      <w:iCs/>
      <w:color w:val="0F4761"/>
      <w:kern w:val="2"/>
    </w:rPr>
  </w:style>
  <w:style w:type="character" w:customStyle="1" w:styleId="IntenseQuoteChar">
    <w:name w:val="Intense Quote Char"/>
    <w:link w:val="IntenseQuote"/>
    <w:uiPriority w:val="30"/>
    <w:rsid w:val="00784CC2"/>
    <w:rPr>
      <w:i/>
      <w:iCs/>
      <w:color w:val="0F4761"/>
    </w:rPr>
  </w:style>
  <w:style w:type="character" w:styleId="IntenseReference">
    <w:name w:val="Intense Reference"/>
    <w:uiPriority w:val="32"/>
    <w:qFormat/>
    <w:rsid w:val="00784CC2"/>
    <w:rPr>
      <w:b/>
      <w:bCs/>
      <w:smallCaps/>
      <w:color w:val="0F4761"/>
      <w:spacing w:val="5"/>
    </w:rPr>
  </w:style>
  <w:style w:type="paragraph" w:styleId="FootnoteText">
    <w:name w:val="footnote text"/>
    <w:basedOn w:val="Normal"/>
    <w:link w:val="FootnoteTextChar"/>
    <w:semiHidden/>
    <w:rsid w:val="00784CC2"/>
    <w:rPr>
      <w:sz w:val="20"/>
      <w:szCs w:val="20"/>
    </w:rPr>
  </w:style>
  <w:style w:type="character" w:customStyle="1" w:styleId="FootnoteTextChar">
    <w:name w:val="Footnote Text Char"/>
    <w:link w:val="FootnoteText"/>
    <w:semiHidden/>
    <w:rsid w:val="00784CC2"/>
    <w:rPr>
      <w:rFonts w:ascii="Times New Roman" w:eastAsia="Times New Roman" w:hAnsi="Times New Roman" w:cs="Times New Roman"/>
      <w:kern w:val="0"/>
      <w:sz w:val="20"/>
      <w:szCs w:val="20"/>
    </w:rPr>
  </w:style>
  <w:style w:type="character" w:styleId="FootnoteReference">
    <w:name w:val="footnote reference"/>
    <w:semiHidden/>
    <w:rsid w:val="00784C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Joshua Marion</dc:creator>
  <cp:keywords/>
  <dc:description/>
  <cp:lastModifiedBy>User</cp:lastModifiedBy>
  <cp:revision>3</cp:revision>
  <dcterms:created xsi:type="dcterms:W3CDTF">2025-11-08T11:31:00Z</dcterms:created>
  <dcterms:modified xsi:type="dcterms:W3CDTF">2025-12-10T22:33:00Z</dcterms:modified>
</cp:coreProperties>
</file>