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0147F" w14:textId="77777777" w:rsidR="00F27775" w:rsidRPr="00612BA6" w:rsidRDefault="00F27775" w:rsidP="00F27775">
      <w:pPr>
        <w:pStyle w:val="Heading4"/>
        <w:rPr>
          <w:b/>
          <w:bCs/>
          <w:sz w:val="32"/>
          <w:szCs w:val="32"/>
        </w:rPr>
      </w:pPr>
      <w:r w:rsidRPr="00612BA6">
        <w:rPr>
          <w:b/>
          <w:bCs/>
          <w:sz w:val="32"/>
          <w:szCs w:val="32"/>
        </w:rPr>
        <w:t>From Communion and Relationship by F. Joshua Marion</w:t>
      </w:r>
    </w:p>
    <w:p w14:paraId="5F0EC3DA" w14:textId="77777777" w:rsidR="00F27775" w:rsidRDefault="00F27775" w:rsidP="00FA01AE">
      <w:pPr>
        <w:jc w:val="both"/>
        <w:rPr>
          <w:rFonts w:ascii="Cooper Black" w:hAnsi="Cooper Black"/>
          <w:b/>
          <w:iCs/>
          <w:sz w:val="28"/>
        </w:rPr>
      </w:pPr>
    </w:p>
    <w:p w14:paraId="4519D99A" w14:textId="1A58E325" w:rsidR="00FA01AE" w:rsidRDefault="00FA01AE" w:rsidP="00FA01AE">
      <w:pPr>
        <w:jc w:val="both"/>
        <w:rPr>
          <w:rFonts w:ascii="Cooper Black" w:hAnsi="Cooper Black"/>
          <w:b/>
          <w:iCs/>
          <w:sz w:val="28"/>
        </w:rPr>
      </w:pPr>
      <w:r>
        <w:rPr>
          <w:rFonts w:ascii="Cooper Black" w:hAnsi="Cooper Black"/>
          <w:b/>
          <w:iCs/>
          <w:sz w:val="28"/>
        </w:rPr>
        <w:t>III. The God Question - God’s Existence:</w:t>
      </w:r>
    </w:p>
    <w:p w14:paraId="0BBDBCA5" w14:textId="77777777" w:rsidR="00FA01AE" w:rsidRDefault="00FA01AE" w:rsidP="00FA01AE">
      <w:pPr>
        <w:jc w:val="both"/>
        <w:rPr>
          <w:b/>
          <w:iCs/>
        </w:rPr>
      </w:pPr>
    </w:p>
    <w:p w14:paraId="08FAB54D" w14:textId="77777777" w:rsidR="00FA01AE" w:rsidRDefault="00FA01AE" w:rsidP="00FA01AE">
      <w:pPr>
        <w:jc w:val="both"/>
        <w:rPr>
          <w:b/>
          <w:iCs/>
        </w:rPr>
      </w:pPr>
      <w:r>
        <w:rPr>
          <w:b/>
          <w:iCs/>
        </w:rPr>
        <w:t>God So loved the World that He Gave His Only-Begotten Son:</w:t>
      </w:r>
    </w:p>
    <w:p w14:paraId="1509F6A9" w14:textId="77777777" w:rsidR="00FA01AE" w:rsidRDefault="00FA01AE" w:rsidP="00FA01AE">
      <w:pPr>
        <w:ind w:firstLine="720"/>
        <w:jc w:val="both"/>
      </w:pPr>
    </w:p>
    <w:p w14:paraId="3A4860E6" w14:textId="77777777" w:rsidR="00FA01AE" w:rsidRDefault="00FA01AE" w:rsidP="00FA01AE">
      <w:pPr>
        <w:spacing w:line="480" w:lineRule="auto"/>
        <w:ind w:firstLine="720"/>
        <w:jc w:val="both"/>
      </w:pPr>
      <w:r>
        <w:t>In his encyclical “</w:t>
      </w:r>
      <w:proofErr w:type="spellStart"/>
      <w:r>
        <w:rPr>
          <w:i/>
          <w:iCs/>
        </w:rPr>
        <w:t>Redemptor</w:t>
      </w:r>
      <w:proofErr w:type="spellEnd"/>
      <w:r>
        <w:rPr>
          <w:i/>
          <w:iCs/>
        </w:rPr>
        <w:t xml:space="preserve"> Hominis</w:t>
      </w:r>
      <w:r>
        <w:t>”, John Paul II proposes there are two key truths of faith which St John expresses at the beginning of his Gospel that:</w:t>
      </w:r>
    </w:p>
    <w:p w14:paraId="05BA378B" w14:textId="77777777" w:rsidR="00FA01AE" w:rsidRDefault="00FA01AE" w:rsidP="00FA01AE">
      <w:pPr>
        <w:ind w:left="1077" w:right="1440"/>
        <w:jc w:val="both"/>
      </w:pPr>
      <w:r>
        <w:t>“The Word became flesh and dwelt among us.” (Jn 1:1) and “God so loved the world that he gave his only Son, that whoever believes in him should not perish but have eternal life. God did not send his Son into the world to condemn the world, but in order that the world might be saved through him.” (3:16)</w:t>
      </w:r>
      <w:r>
        <w:rPr>
          <w:rStyle w:val="FootnoteReference"/>
          <w:rFonts w:eastAsiaTheme="majorEastAsia"/>
        </w:rPr>
        <w:footnoteReference w:id="1"/>
      </w:r>
    </w:p>
    <w:p w14:paraId="53F176C2" w14:textId="77777777" w:rsidR="00FA01AE" w:rsidRDefault="00FA01AE" w:rsidP="00FA01AE">
      <w:pPr>
        <w:spacing w:line="480" w:lineRule="auto"/>
        <w:jc w:val="both"/>
      </w:pPr>
    </w:p>
    <w:p w14:paraId="7165D135" w14:textId="77777777" w:rsidR="00FA01AE" w:rsidRDefault="00FA01AE" w:rsidP="00FA01AE">
      <w:pPr>
        <w:pStyle w:val="BodyText"/>
        <w:spacing w:line="480" w:lineRule="auto"/>
        <w:ind w:right="0" w:firstLine="720"/>
        <w:jc w:val="both"/>
      </w:pPr>
      <w:r>
        <w:t>God has loved the world to that degree that He has given it His own and only Son. In this great gift three things demand our consideration: who is the giver, what is the gift given, and what is the greatness of the love with which He gives it? Who is this God who fulfils the deepest hunger of our hearts and who so loved the world that He gave us the great gift of His Son?</w:t>
      </w:r>
    </w:p>
    <w:p w14:paraId="6A17CB33" w14:textId="77777777" w:rsidR="00FA01AE" w:rsidRDefault="00FA01AE" w:rsidP="00FA01AE">
      <w:pPr>
        <w:pStyle w:val="BodyText"/>
        <w:ind w:right="0"/>
        <w:jc w:val="both"/>
        <w:rPr>
          <w:b/>
          <w:bCs/>
        </w:rPr>
      </w:pPr>
      <w:r>
        <w:rPr>
          <w:b/>
          <w:bCs/>
        </w:rPr>
        <w:t>God Cannot be Easily Grasped:</w:t>
      </w:r>
    </w:p>
    <w:p w14:paraId="2DDB4190" w14:textId="77777777" w:rsidR="00FA01AE" w:rsidRDefault="00FA01AE" w:rsidP="00FA01AE">
      <w:pPr>
        <w:ind w:firstLine="720"/>
        <w:jc w:val="both"/>
      </w:pPr>
    </w:p>
    <w:p w14:paraId="4F6F0994" w14:textId="77777777" w:rsidR="00FA01AE" w:rsidRDefault="00FA01AE" w:rsidP="00FA01AE">
      <w:pPr>
        <w:pStyle w:val="BodyTextIndent"/>
        <w:spacing w:line="480" w:lineRule="auto"/>
      </w:pPr>
      <w:r>
        <w:t xml:space="preserve">Unlike in the past, the concept of God is something we can no longer simply presuppose. We begin to see how much greater God is than the words we use to convey our experiences of the Divine. Our religious language can never get rid of images, symbols, metaphors, myths and story when speaking about God. Since our knowledge of God is limited, our language about Him is equally so. The idea of a God, external to the universe but nevertheless intervening in it from time to time to achieve some purpose, is foreign to most people today. The definition of God as used by St Anselm that “God is that Being a greater than which cannot be conceived”, shows that the concept of God is the highest achievement of </w:t>
      </w:r>
      <w:r>
        <w:lastRenderedPageBreak/>
        <w:t>the human mind, as well as beyond the mind. This unfortunately implies that we are creatures who are excluded from God, the Supreme Being.</w:t>
      </w:r>
    </w:p>
    <w:p w14:paraId="71CF4B8E" w14:textId="77777777" w:rsidR="00FA01AE" w:rsidRDefault="00FA01AE" w:rsidP="00FA01AE">
      <w:pPr>
        <w:spacing w:line="480" w:lineRule="auto"/>
        <w:jc w:val="both"/>
      </w:pPr>
    </w:p>
    <w:p w14:paraId="389269CB" w14:textId="77777777" w:rsidR="00FA01AE" w:rsidRDefault="00FA01AE" w:rsidP="00FA01AE">
      <w:pPr>
        <w:spacing w:line="480" w:lineRule="auto"/>
        <w:ind w:firstLine="720"/>
        <w:jc w:val="both"/>
      </w:pPr>
      <w:r>
        <w:t>The eminent theologian Karl Rahner recognises that every time we try to grasp God, He recedes. This mystery of God’s transcendence by Rahner he terms “asymptotic”, that is, the closer we approach the mystery the further away from it we go. “This presents itself in the mode of withdrawal, of silence, of distance, of being always inexpressible, so that speaking of it, if it is to make sense, always requires listening to its silence.”</w:t>
      </w:r>
      <w:r>
        <w:rPr>
          <w:rStyle w:val="FootnoteReference"/>
          <w:rFonts w:eastAsiaTheme="majorEastAsia"/>
        </w:rPr>
        <w:footnoteReference w:id="2"/>
      </w:r>
      <w:r>
        <w:t xml:space="preserve"> St Thomas Aquinas puts it simply like this: “we cannot grasp what God is, but only what he is not, and how other beings stand in relation to him.”</w:t>
      </w:r>
      <w:r>
        <w:rPr>
          <w:rStyle w:val="FootnoteReference"/>
          <w:rFonts w:eastAsiaTheme="majorEastAsia"/>
        </w:rPr>
        <w:footnoteReference w:id="3"/>
      </w:r>
    </w:p>
    <w:p w14:paraId="63F1571A" w14:textId="77777777" w:rsidR="00FA01AE" w:rsidRDefault="00FA01AE" w:rsidP="00FA01AE">
      <w:pPr>
        <w:spacing w:line="480" w:lineRule="auto"/>
        <w:jc w:val="both"/>
      </w:pPr>
    </w:p>
    <w:p w14:paraId="3CA76FCA" w14:textId="77777777" w:rsidR="00FA01AE" w:rsidRDefault="00FA01AE" w:rsidP="00FA01AE">
      <w:pPr>
        <w:jc w:val="both"/>
        <w:rPr>
          <w:b/>
          <w:bCs/>
        </w:rPr>
      </w:pPr>
      <w:r>
        <w:rPr>
          <w:b/>
          <w:bCs/>
        </w:rPr>
        <w:t>God’s Mixed Relation to the World:</w:t>
      </w:r>
    </w:p>
    <w:p w14:paraId="7E786F12" w14:textId="77777777" w:rsidR="00FA01AE" w:rsidRDefault="00FA01AE" w:rsidP="00FA01AE">
      <w:pPr>
        <w:ind w:firstLine="720"/>
        <w:jc w:val="both"/>
      </w:pPr>
    </w:p>
    <w:p w14:paraId="6D4A0BCF" w14:textId="77777777" w:rsidR="00FA01AE" w:rsidRDefault="00FA01AE" w:rsidP="00FA01AE">
      <w:pPr>
        <w:spacing w:line="480" w:lineRule="auto"/>
        <w:ind w:firstLine="720"/>
        <w:jc w:val="both"/>
      </w:pPr>
      <w:r>
        <w:t xml:space="preserve">The question of God’s relationship to the world has been an ongoing debate of theologians for centuries. John Macquarrie in his book </w:t>
      </w:r>
      <w:r>
        <w:rPr>
          <w:i/>
          <w:iCs/>
        </w:rPr>
        <w:t xml:space="preserve">In Search of Deity </w:t>
      </w:r>
      <w:r>
        <w:t>takes the work of Aquinas as presented in the “</w:t>
      </w:r>
      <w:r>
        <w:rPr>
          <w:i/>
          <w:iCs/>
        </w:rPr>
        <w:t>Summa Theologica</w:t>
      </w:r>
      <w:r>
        <w:t>” and interprets God’s relationship to the world as asymmetrical in which there is no reciprocity of relations.</w:t>
      </w:r>
      <w:r>
        <w:rPr>
          <w:rStyle w:val="FootnoteReference"/>
          <w:rFonts w:eastAsiaTheme="majorEastAsia"/>
          <w:i/>
          <w:iCs/>
        </w:rPr>
        <w:footnoteReference w:id="4"/>
      </w:r>
      <w:r>
        <w:t xml:space="preserve"> In other words, God’s relation to the world is a “mixed relation”, for “being related to God is a reality in creatures, but being related to creatures is not a reality in God.”</w:t>
      </w:r>
      <w:r>
        <w:rPr>
          <w:rStyle w:val="FootnoteReference"/>
          <w:rFonts w:eastAsiaTheme="majorEastAsia"/>
        </w:rPr>
        <w:footnoteReference w:id="5"/>
      </w:r>
      <w:r>
        <w:t xml:space="preserve"> God never changes </w:t>
      </w:r>
      <w:r>
        <w:rPr>
          <w:i/>
          <w:iCs/>
        </w:rPr>
        <w:t>vis-à-vis</w:t>
      </w:r>
      <w:r>
        <w:t xml:space="preserve"> the world, although the world is constantly changing in relation to Him. God is basically this mystery, this otherness, who lies hidden and independent of the world.</w:t>
      </w:r>
    </w:p>
    <w:p w14:paraId="4CB3F138" w14:textId="77777777" w:rsidR="00FA01AE" w:rsidRDefault="00FA01AE" w:rsidP="00FA01AE">
      <w:pPr>
        <w:spacing w:line="480" w:lineRule="auto"/>
        <w:jc w:val="both"/>
      </w:pPr>
    </w:p>
    <w:p w14:paraId="2E39D646" w14:textId="3FFF595B" w:rsidR="00FA01AE" w:rsidRDefault="00FA01AE" w:rsidP="00FA01AE">
      <w:pPr>
        <w:spacing w:line="480" w:lineRule="auto"/>
        <w:ind w:firstLine="720"/>
        <w:jc w:val="both"/>
      </w:pPr>
      <w:r>
        <w:lastRenderedPageBreak/>
        <w:t>If the world needs God but God has no need of the world, and if God is not affected by anything which happens in the world e.g. the suffering of His creatures, then Aquinas’ model of God would seem to be contrary to the biblical God who responds to human decisions and is affected by them. This is a God who has identified in human history with the life, death and resurrection of Jesus of Nazareth.</w:t>
      </w:r>
      <w:r>
        <w:rPr>
          <w:rStyle w:val="FootnoteReference"/>
          <w:rFonts w:eastAsiaTheme="majorEastAsia"/>
        </w:rPr>
        <w:footnoteReference w:id="6"/>
      </w:r>
      <w:r>
        <w:t xml:space="preserve"> The Incarnation is God’s ultimate action in the world in which God became a part of the world. God is not merely a distant and uninvolved God, nor a one-side</w:t>
      </w:r>
      <w:r w:rsidR="007C206F">
        <w:t>d</w:t>
      </w:r>
      <w:r>
        <w:t>ly transcendent God who is over and above the world.</w:t>
      </w:r>
      <w:r>
        <w:rPr>
          <w:rStyle w:val="FootnoteReference"/>
          <w:rFonts w:eastAsiaTheme="majorEastAsia"/>
        </w:rPr>
        <w:footnoteReference w:id="7"/>
      </w:r>
      <w:r>
        <w:t xml:space="preserve"> The God of Christianity, as fully revealed to us in Christ Jesus, is a God who does much to ensure a possible on-going relationship between Himself and the world.</w:t>
      </w:r>
    </w:p>
    <w:p w14:paraId="7BDE089A" w14:textId="77777777" w:rsidR="00FA01AE" w:rsidRDefault="00FA01AE" w:rsidP="00FA01AE">
      <w:pPr>
        <w:spacing w:line="480" w:lineRule="auto"/>
        <w:jc w:val="both"/>
      </w:pPr>
    </w:p>
    <w:p w14:paraId="0FFCFF99" w14:textId="77777777" w:rsidR="00FA01AE" w:rsidRDefault="00FA01AE" w:rsidP="00FA01AE">
      <w:pPr>
        <w:jc w:val="both"/>
        <w:rPr>
          <w:b/>
          <w:bCs/>
        </w:rPr>
      </w:pPr>
      <w:r>
        <w:rPr>
          <w:b/>
          <w:bCs/>
        </w:rPr>
        <w:t xml:space="preserve">A God Who is </w:t>
      </w:r>
      <w:proofErr w:type="gramStart"/>
      <w:r>
        <w:rPr>
          <w:b/>
          <w:bCs/>
        </w:rPr>
        <w:t>Becoming?:</w:t>
      </w:r>
      <w:proofErr w:type="gramEnd"/>
    </w:p>
    <w:p w14:paraId="77E64999" w14:textId="77777777" w:rsidR="00FA01AE" w:rsidRDefault="00FA01AE" w:rsidP="00FA01AE">
      <w:pPr>
        <w:ind w:firstLine="720"/>
        <w:jc w:val="both"/>
      </w:pPr>
    </w:p>
    <w:p w14:paraId="58A27B8D" w14:textId="77777777" w:rsidR="00FA01AE" w:rsidRDefault="00FA01AE" w:rsidP="00FA01AE">
      <w:pPr>
        <w:spacing w:line="480" w:lineRule="auto"/>
        <w:ind w:firstLine="720"/>
        <w:jc w:val="both"/>
      </w:pPr>
      <w:r>
        <w:t xml:space="preserve">On the other side of the coin, we have a number of contemporary philosophers (Whitehead, Hartshorne) who have a God </w:t>
      </w:r>
      <w:r>
        <w:rPr>
          <w:i/>
          <w:iCs/>
        </w:rPr>
        <w:t>becoming</w:t>
      </w:r>
      <w:r>
        <w:t xml:space="preserve"> like the rest of reality.</w:t>
      </w:r>
      <w:r>
        <w:rPr>
          <w:rStyle w:val="FootnoteReference"/>
          <w:rFonts w:eastAsiaTheme="majorEastAsia"/>
        </w:rPr>
        <w:footnoteReference w:id="8"/>
      </w:r>
      <w:r>
        <w:t xml:space="preserve"> Alfred Whitehead’s ‘process theology’ has as its basic principle that reality and creation are not static but are in a constant state of change. This is a process in which creation is a continual coming to be and then a passing away. This view, whilst trying to get rid of the abstraction of God, is not suitable because if God never reaches a static completion He would lack many of the perennial divine attributes – immutability, infiniteness and so on. God is more than a primordial, non-temporal accident who grows in perfection as the world increases. ‘Process theology’ fails to do justice to the whole idea of God and our experience of being creatures in relation to this God. God is the ultimate </w:t>
      </w:r>
      <w:r>
        <w:rPr>
          <w:i/>
          <w:iCs/>
        </w:rPr>
        <w:t>Being</w:t>
      </w:r>
      <w:r>
        <w:t xml:space="preserve"> and cannot be reduced to a </w:t>
      </w:r>
      <w:r>
        <w:rPr>
          <w:i/>
          <w:iCs/>
        </w:rPr>
        <w:t>being</w:t>
      </w:r>
      <w:r>
        <w:t xml:space="preserve"> among </w:t>
      </w:r>
      <w:r>
        <w:rPr>
          <w:i/>
          <w:iCs/>
        </w:rPr>
        <w:t>beings</w:t>
      </w:r>
      <w:r>
        <w:t>.</w:t>
      </w:r>
      <w:r>
        <w:rPr>
          <w:rStyle w:val="FootnoteReference"/>
          <w:rFonts w:eastAsiaTheme="majorEastAsia"/>
        </w:rPr>
        <w:footnoteReference w:id="9"/>
      </w:r>
    </w:p>
    <w:p w14:paraId="6C6AAB8F" w14:textId="77777777" w:rsidR="00FA01AE" w:rsidRDefault="00FA01AE" w:rsidP="00FA01AE">
      <w:pPr>
        <w:spacing w:line="480" w:lineRule="auto"/>
        <w:jc w:val="both"/>
        <w:rPr>
          <w:b/>
          <w:bCs/>
        </w:rPr>
      </w:pPr>
    </w:p>
    <w:p w14:paraId="0B4BCE8B" w14:textId="77777777" w:rsidR="007C206F" w:rsidRDefault="007C206F" w:rsidP="00FA01AE">
      <w:pPr>
        <w:jc w:val="both"/>
        <w:rPr>
          <w:b/>
          <w:bCs/>
        </w:rPr>
      </w:pPr>
    </w:p>
    <w:p w14:paraId="79131EF8" w14:textId="77777777" w:rsidR="007C206F" w:rsidRDefault="007C206F" w:rsidP="00FA01AE">
      <w:pPr>
        <w:jc w:val="both"/>
        <w:rPr>
          <w:b/>
          <w:bCs/>
        </w:rPr>
      </w:pPr>
    </w:p>
    <w:p w14:paraId="534476E6" w14:textId="763F6503" w:rsidR="00FA01AE" w:rsidRDefault="00FA01AE" w:rsidP="00FA01AE">
      <w:pPr>
        <w:jc w:val="both"/>
        <w:rPr>
          <w:b/>
          <w:bCs/>
        </w:rPr>
      </w:pPr>
      <w:r>
        <w:rPr>
          <w:b/>
          <w:bCs/>
        </w:rPr>
        <w:lastRenderedPageBreak/>
        <w:t>God Has a Real Relationship with the World:</w:t>
      </w:r>
    </w:p>
    <w:p w14:paraId="04922967" w14:textId="77777777" w:rsidR="00FA01AE" w:rsidRDefault="00FA01AE" w:rsidP="00FA01AE">
      <w:pPr>
        <w:ind w:firstLine="720"/>
        <w:jc w:val="both"/>
      </w:pPr>
    </w:p>
    <w:p w14:paraId="764B11B5" w14:textId="77777777" w:rsidR="00FA01AE" w:rsidRDefault="00FA01AE" w:rsidP="00FA01AE">
      <w:pPr>
        <w:spacing w:line="480" w:lineRule="auto"/>
        <w:ind w:firstLine="720"/>
        <w:jc w:val="both"/>
      </w:pPr>
      <w:r>
        <w:t>Any notion of God must represent both His transcendence and immanence in a full, equal and balanced way.</w:t>
      </w:r>
      <w:r>
        <w:rPr>
          <w:rStyle w:val="FootnoteReference"/>
          <w:rFonts w:eastAsiaTheme="majorEastAsia"/>
        </w:rPr>
        <w:footnoteReference w:id="10"/>
      </w:r>
      <w:r>
        <w:t xml:space="preserve"> God’s transcendence must not be limited to or replaced by the level of finitude, nor must His immanence be overly elevated that God is no longer the ultimate. Macquarrie’s dialectical approach applies our descriptions of God in a fully dialectical way.</w:t>
      </w:r>
      <w:r>
        <w:rPr>
          <w:rStyle w:val="FootnoteReference"/>
          <w:rFonts w:eastAsiaTheme="majorEastAsia"/>
        </w:rPr>
        <w:footnoteReference w:id="11"/>
      </w:r>
      <w:r>
        <w:t xml:space="preserve"> This model takes the transcendence of God and puts it in equal tension with a recognition of His immanence in the world. He alleges that there is “a dialectic built into the very idea of God.”</w:t>
      </w:r>
      <w:r>
        <w:rPr>
          <w:rStyle w:val="FootnoteReference"/>
          <w:rFonts w:eastAsiaTheme="majorEastAsia"/>
        </w:rPr>
        <w:footnoteReference w:id="12"/>
      </w:r>
      <w:r>
        <w:t xml:space="preserve"> The conflict at either end (thesis vs. antithesis) helps create a synthesis of God and gives equal weight to each side of the dialectic opposition.</w:t>
      </w:r>
      <w:r>
        <w:rPr>
          <w:rStyle w:val="FootnoteReference"/>
          <w:rFonts w:eastAsiaTheme="majorEastAsia"/>
        </w:rPr>
        <w:footnoteReference w:id="13"/>
      </w:r>
    </w:p>
    <w:p w14:paraId="38F33CEC" w14:textId="77777777" w:rsidR="00FA01AE" w:rsidRDefault="00FA01AE" w:rsidP="00FA01AE">
      <w:pPr>
        <w:spacing w:line="480" w:lineRule="auto"/>
        <w:jc w:val="both"/>
      </w:pPr>
    </w:p>
    <w:p w14:paraId="6675006D" w14:textId="77777777" w:rsidR="00FA01AE" w:rsidRDefault="00FA01AE" w:rsidP="00FA01AE">
      <w:pPr>
        <w:spacing w:line="480" w:lineRule="auto"/>
        <w:ind w:firstLine="720"/>
        <w:jc w:val="both"/>
        <w:rPr>
          <w:b/>
          <w:bCs/>
          <w:sz w:val="28"/>
        </w:rPr>
      </w:pPr>
      <w:r>
        <w:t xml:space="preserve">Theologically speaking, only the God of Christianity has identified Himself totally with human history through the Incarnation of His Son. God has become temporal and corporeal in this man alone. The Christian experience of God is that He has a </w:t>
      </w:r>
      <w:r>
        <w:rPr>
          <w:i/>
          <w:iCs/>
        </w:rPr>
        <w:t>real</w:t>
      </w:r>
      <w:r>
        <w:t xml:space="preserve"> relationship with the world and is present in its affairs. This is a God who in Jesus has an authentic inter-personal relationship with His loved creatures. This is a God who is not only transcendent but also immanent to all reality. This is a God who calls us and offers us a life in communion with Him.</w:t>
      </w:r>
      <w:r>
        <w:rPr>
          <w:rStyle w:val="FootnoteReference"/>
          <w:rFonts w:eastAsiaTheme="majorEastAsia"/>
        </w:rPr>
        <w:footnoteReference w:id="14"/>
      </w:r>
    </w:p>
    <w:p w14:paraId="74681EA7" w14:textId="77777777" w:rsidR="00BD7716" w:rsidRDefault="00BD7716"/>
    <w:sectPr w:rsidR="00BD77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8EE44" w14:textId="77777777" w:rsidR="002B06FB" w:rsidRDefault="002B06FB" w:rsidP="00FA01AE">
      <w:r>
        <w:separator/>
      </w:r>
    </w:p>
  </w:endnote>
  <w:endnote w:type="continuationSeparator" w:id="0">
    <w:p w14:paraId="26831AA6" w14:textId="77777777" w:rsidR="002B06FB" w:rsidRDefault="002B06FB" w:rsidP="00FA0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ooper Black">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C40D8" w14:textId="77777777" w:rsidR="002B06FB" w:rsidRDefault="002B06FB" w:rsidP="00FA01AE">
      <w:r>
        <w:separator/>
      </w:r>
    </w:p>
  </w:footnote>
  <w:footnote w:type="continuationSeparator" w:id="0">
    <w:p w14:paraId="011E7468" w14:textId="77777777" w:rsidR="002B06FB" w:rsidRDefault="002B06FB" w:rsidP="00FA01AE">
      <w:r>
        <w:continuationSeparator/>
      </w:r>
    </w:p>
  </w:footnote>
  <w:footnote w:id="1">
    <w:p w14:paraId="319E3582" w14:textId="77777777" w:rsidR="00FA01AE" w:rsidRDefault="00FA01AE" w:rsidP="00FA01AE">
      <w:pPr>
        <w:pStyle w:val="FootnoteText"/>
      </w:pPr>
      <w:r>
        <w:rPr>
          <w:rStyle w:val="FootnoteReference"/>
          <w:rFonts w:eastAsiaTheme="majorEastAsia"/>
        </w:rPr>
        <w:footnoteRef/>
      </w:r>
      <w:r>
        <w:t xml:space="preserve"> Cf. </w:t>
      </w:r>
      <w:r>
        <w:rPr>
          <w:i/>
          <w:iCs/>
        </w:rPr>
        <w:t>RH</w:t>
      </w:r>
      <w:r>
        <w:t xml:space="preserve"> 1.</w:t>
      </w:r>
    </w:p>
  </w:footnote>
  <w:footnote w:id="2">
    <w:p w14:paraId="1D7782E3" w14:textId="77777777" w:rsidR="00FA01AE" w:rsidRDefault="00FA01AE" w:rsidP="00FA01AE">
      <w:pPr>
        <w:pStyle w:val="FootnoteText"/>
      </w:pPr>
      <w:r>
        <w:rPr>
          <w:rStyle w:val="FootnoteReference"/>
          <w:rFonts w:eastAsiaTheme="majorEastAsia"/>
        </w:rPr>
        <w:footnoteRef/>
      </w:r>
      <w:r>
        <w:t xml:space="preserve"> Karl Rahner, </w:t>
      </w:r>
      <w:r>
        <w:rPr>
          <w:i/>
          <w:iCs/>
        </w:rPr>
        <w:t>Foundations of Christian Faith</w:t>
      </w:r>
      <w:r>
        <w:t xml:space="preserve"> (New York: Seabury, 1978), 64.</w:t>
      </w:r>
    </w:p>
  </w:footnote>
  <w:footnote w:id="3">
    <w:p w14:paraId="0CE4FCF5" w14:textId="77777777" w:rsidR="00FA01AE" w:rsidRDefault="00FA01AE" w:rsidP="00FA01AE">
      <w:pPr>
        <w:pStyle w:val="FootnoteText"/>
      </w:pPr>
      <w:r>
        <w:rPr>
          <w:rStyle w:val="FootnoteReference"/>
          <w:rFonts w:eastAsiaTheme="majorEastAsia"/>
        </w:rPr>
        <w:footnoteRef/>
      </w:r>
      <w:r>
        <w:t xml:space="preserve"> St. Thomas Aquinas, </w:t>
      </w:r>
      <w:r>
        <w:rPr>
          <w:i/>
          <w:iCs/>
        </w:rPr>
        <w:t>SCG</w:t>
      </w:r>
      <w:r>
        <w:t xml:space="preserve"> I, 30; Cf. </w:t>
      </w:r>
      <w:r>
        <w:rPr>
          <w:i/>
          <w:iCs/>
        </w:rPr>
        <w:t>CCC</w:t>
      </w:r>
      <w:r>
        <w:t xml:space="preserve"> 43.</w:t>
      </w:r>
    </w:p>
  </w:footnote>
  <w:footnote w:id="4">
    <w:p w14:paraId="47C90936" w14:textId="77777777" w:rsidR="00FA01AE" w:rsidRDefault="00FA01AE" w:rsidP="00FA01AE">
      <w:pPr>
        <w:pStyle w:val="FootnoteText"/>
      </w:pPr>
      <w:r>
        <w:rPr>
          <w:rStyle w:val="FootnoteReference"/>
          <w:rFonts w:eastAsiaTheme="majorEastAsia"/>
        </w:rPr>
        <w:footnoteRef/>
      </w:r>
      <w:r>
        <w:t xml:space="preserve"> Cf. John Macquarrie, </w:t>
      </w:r>
      <w:r>
        <w:rPr>
          <w:i/>
          <w:iCs/>
        </w:rPr>
        <w:t>In Search of Deity</w:t>
      </w:r>
      <w:r>
        <w:t xml:space="preserve"> (London: SCM Press, 1984), 25-30.</w:t>
      </w:r>
    </w:p>
  </w:footnote>
  <w:footnote w:id="5">
    <w:p w14:paraId="06733E07" w14:textId="77777777" w:rsidR="00FA01AE" w:rsidRDefault="00FA01AE" w:rsidP="00FA01AE">
      <w:pPr>
        <w:pStyle w:val="FootnoteText"/>
      </w:pPr>
      <w:r>
        <w:rPr>
          <w:rStyle w:val="FootnoteReference"/>
          <w:rFonts w:eastAsiaTheme="majorEastAsia"/>
        </w:rPr>
        <w:footnoteRef/>
      </w:r>
      <w:r>
        <w:t xml:space="preserve"> St Thomas Aquinas, </w:t>
      </w:r>
      <w:r>
        <w:rPr>
          <w:i/>
          <w:iCs/>
        </w:rPr>
        <w:t>Summa Theologica</w:t>
      </w:r>
      <w:r>
        <w:t>,</w:t>
      </w:r>
      <w:r>
        <w:rPr>
          <w:b/>
          <w:bCs/>
          <w:i/>
          <w:iCs/>
        </w:rPr>
        <w:t xml:space="preserve"> </w:t>
      </w:r>
      <w:r>
        <w:t>1a, Q13, a7. Trans, T. McDermott (London: Blackfriars, 1963), Vol 3, 75.</w:t>
      </w:r>
    </w:p>
  </w:footnote>
  <w:footnote w:id="6">
    <w:p w14:paraId="0E1F4B1E" w14:textId="77777777" w:rsidR="00FA01AE" w:rsidRDefault="00FA01AE" w:rsidP="00FA01AE">
      <w:pPr>
        <w:pStyle w:val="FootnoteText"/>
      </w:pPr>
      <w:r>
        <w:rPr>
          <w:rStyle w:val="FootnoteReference"/>
          <w:rFonts w:eastAsiaTheme="majorEastAsia"/>
        </w:rPr>
        <w:footnoteRef/>
      </w:r>
      <w:r>
        <w:t xml:space="preserve"> Macquarrie, </w:t>
      </w:r>
      <w:r>
        <w:rPr>
          <w:i/>
          <w:iCs/>
        </w:rPr>
        <w:t>In Search of Deity</w:t>
      </w:r>
      <w:r>
        <w:t>, 31 &amp; 111.</w:t>
      </w:r>
    </w:p>
  </w:footnote>
  <w:footnote w:id="7">
    <w:p w14:paraId="619176B1" w14:textId="77777777" w:rsidR="00FA01AE" w:rsidRDefault="00FA01AE" w:rsidP="00FA01AE">
      <w:pPr>
        <w:pStyle w:val="FootnoteText"/>
      </w:pPr>
      <w:r>
        <w:rPr>
          <w:rStyle w:val="FootnoteReference"/>
          <w:rFonts w:eastAsiaTheme="majorEastAsia"/>
        </w:rPr>
        <w:footnoteRef/>
      </w:r>
      <w:r>
        <w:t xml:space="preserve"> </w:t>
      </w:r>
      <w:r>
        <w:rPr>
          <w:i/>
          <w:iCs/>
        </w:rPr>
        <w:t>Ibid</w:t>
      </w:r>
      <w:r>
        <w:t>, 31.</w:t>
      </w:r>
    </w:p>
  </w:footnote>
  <w:footnote w:id="8">
    <w:p w14:paraId="2483585E" w14:textId="77777777" w:rsidR="00FA01AE" w:rsidRDefault="00FA01AE" w:rsidP="00FA01AE">
      <w:pPr>
        <w:pStyle w:val="FootnoteText"/>
      </w:pPr>
      <w:r>
        <w:rPr>
          <w:rStyle w:val="FootnoteReference"/>
          <w:rFonts w:eastAsiaTheme="majorEastAsia"/>
        </w:rPr>
        <w:footnoteRef/>
      </w:r>
      <w:r>
        <w:t xml:space="preserve"> O’Donnell, </w:t>
      </w:r>
      <w:r>
        <w:rPr>
          <w:i/>
          <w:iCs/>
        </w:rPr>
        <w:t>Mystery of the Triune God</w:t>
      </w:r>
      <w:r>
        <w:t>, 4.</w:t>
      </w:r>
    </w:p>
  </w:footnote>
  <w:footnote w:id="9">
    <w:p w14:paraId="5DE1CF7C" w14:textId="77777777" w:rsidR="00FA01AE" w:rsidRDefault="00FA01AE" w:rsidP="00FA01AE">
      <w:pPr>
        <w:pStyle w:val="FootnoteText"/>
      </w:pPr>
      <w:r>
        <w:rPr>
          <w:rStyle w:val="FootnoteReference"/>
          <w:rFonts w:eastAsiaTheme="majorEastAsia"/>
        </w:rPr>
        <w:footnoteRef/>
      </w:r>
      <w:r>
        <w:t xml:space="preserve"> </w:t>
      </w:r>
      <w:r>
        <w:rPr>
          <w:i/>
          <w:iCs/>
        </w:rPr>
        <w:t>Ibid</w:t>
      </w:r>
      <w:r>
        <w:t xml:space="preserve">, 5. Cf. Paul Connell, </w:t>
      </w:r>
      <w:r>
        <w:rPr>
          <w:i/>
          <w:iCs/>
        </w:rPr>
        <w:t xml:space="preserve">Process and God in Whitehead </w:t>
      </w:r>
      <w:r>
        <w:t>(Melbourne: CTC Notes, 1994), 9.</w:t>
      </w:r>
    </w:p>
  </w:footnote>
  <w:footnote w:id="10">
    <w:p w14:paraId="3AE1B0DF" w14:textId="77777777" w:rsidR="00FA01AE" w:rsidRDefault="00FA01AE" w:rsidP="00FA01AE">
      <w:pPr>
        <w:pStyle w:val="FootnoteText"/>
      </w:pPr>
      <w:r>
        <w:rPr>
          <w:rStyle w:val="FootnoteReference"/>
          <w:rFonts w:eastAsiaTheme="majorEastAsia"/>
        </w:rPr>
        <w:footnoteRef/>
      </w:r>
      <w:r>
        <w:t xml:space="preserve"> Immanence means His presence as known to His creatures and His creation in the world, of being accessible, near and within.</w:t>
      </w:r>
    </w:p>
  </w:footnote>
  <w:footnote w:id="11">
    <w:p w14:paraId="7F4B3945" w14:textId="77777777" w:rsidR="00FA01AE" w:rsidRDefault="00FA01AE" w:rsidP="00FA01AE">
      <w:pPr>
        <w:pStyle w:val="FootnoteText"/>
      </w:pPr>
      <w:r>
        <w:rPr>
          <w:rStyle w:val="FootnoteReference"/>
          <w:rFonts w:eastAsiaTheme="majorEastAsia"/>
        </w:rPr>
        <w:footnoteRef/>
      </w:r>
      <w:r>
        <w:t xml:space="preserve"> Dialectic here is to be understood as the clash of opposites, i.e. wholly transcendent and wholly immanent.</w:t>
      </w:r>
    </w:p>
  </w:footnote>
  <w:footnote w:id="12">
    <w:p w14:paraId="03E0F93E" w14:textId="77777777" w:rsidR="00FA01AE" w:rsidRDefault="00FA01AE" w:rsidP="00FA01AE">
      <w:pPr>
        <w:pStyle w:val="FootnoteText"/>
      </w:pPr>
      <w:r>
        <w:rPr>
          <w:rStyle w:val="FootnoteReference"/>
          <w:rFonts w:eastAsiaTheme="majorEastAsia"/>
        </w:rPr>
        <w:footnoteRef/>
      </w:r>
      <w:r>
        <w:t xml:space="preserve"> Macquarrie</w:t>
      </w:r>
      <w:r>
        <w:rPr>
          <w:i/>
          <w:iCs/>
        </w:rPr>
        <w:t>, In Search of Deity</w:t>
      </w:r>
      <w:r>
        <w:t>, 27.</w:t>
      </w:r>
    </w:p>
  </w:footnote>
  <w:footnote w:id="13">
    <w:p w14:paraId="68C665A9" w14:textId="77777777" w:rsidR="00FA01AE" w:rsidRDefault="00FA01AE" w:rsidP="00FA01AE">
      <w:pPr>
        <w:pStyle w:val="FootnoteText"/>
      </w:pPr>
      <w:r>
        <w:rPr>
          <w:rStyle w:val="FootnoteReference"/>
          <w:rFonts w:eastAsiaTheme="majorEastAsia"/>
        </w:rPr>
        <w:footnoteRef/>
      </w:r>
      <w:r>
        <w:t xml:space="preserve"> </w:t>
      </w:r>
      <w:r>
        <w:rPr>
          <w:i/>
          <w:iCs/>
        </w:rPr>
        <w:t>Ibid</w:t>
      </w:r>
      <w:r>
        <w:t>, 54.</w:t>
      </w:r>
    </w:p>
  </w:footnote>
  <w:footnote w:id="14">
    <w:p w14:paraId="1E36EFB2" w14:textId="77777777" w:rsidR="00FA01AE" w:rsidRDefault="00FA01AE" w:rsidP="00FA01AE">
      <w:pPr>
        <w:pStyle w:val="FootnoteText"/>
      </w:pPr>
      <w:r>
        <w:rPr>
          <w:rStyle w:val="FootnoteReference"/>
          <w:rFonts w:eastAsiaTheme="majorEastAsia"/>
        </w:rPr>
        <w:footnoteRef/>
      </w:r>
      <w:r>
        <w:t xml:space="preserve"> O’ Donnell, </w:t>
      </w:r>
      <w:r>
        <w:rPr>
          <w:i/>
          <w:iCs/>
        </w:rPr>
        <w:t>Mystery of the Triune God</w:t>
      </w:r>
      <w:r>
        <w:t>, 3. See also Macquarrie</w:t>
      </w:r>
      <w:r>
        <w:rPr>
          <w:i/>
          <w:iCs/>
        </w:rPr>
        <w:t>, In Search of Deity</w:t>
      </w:r>
      <w:r>
        <w:t>, 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1AE"/>
    <w:rsid w:val="000B0680"/>
    <w:rsid w:val="000C24D4"/>
    <w:rsid w:val="001C68DF"/>
    <w:rsid w:val="002B06FB"/>
    <w:rsid w:val="004E3AF4"/>
    <w:rsid w:val="00545A35"/>
    <w:rsid w:val="007C206F"/>
    <w:rsid w:val="009E4F7D"/>
    <w:rsid w:val="00BD7716"/>
    <w:rsid w:val="00F27775"/>
    <w:rsid w:val="00FA01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62684"/>
  <w15:chartTrackingRefBased/>
  <w15:docId w15:val="{F2131BBE-D37F-4388-B6EF-DFA6718D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1A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A01A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A01A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A01A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nhideWhenUsed/>
    <w:qFormat/>
    <w:rsid w:val="00FA01A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A01A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A01A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A01A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A01A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A01A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1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01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1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FA01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1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1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1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1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1AE"/>
    <w:rPr>
      <w:rFonts w:eastAsiaTheme="majorEastAsia" w:cstheme="majorBidi"/>
      <w:color w:val="272727" w:themeColor="text1" w:themeTint="D8"/>
    </w:rPr>
  </w:style>
  <w:style w:type="paragraph" w:styleId="Title">
    <w:name w:val="Title"/>
    <w:basedOn w:val="Normal"/>
    <w:next w:val="Normal"/>
    <w:link w:val="TitleChar"/>
    <w:uiPriority w:val="10"/>
    <w:qFormat/>
    <w:rsid w:val="00FA01A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A01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1A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A01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1A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A01AE"/>
    <w:rPr>
      <w:i/>
      <w:iCs/>
      <w:color w:val="404040" w:themeColor="text1" w:themeTint="BF"/>
    </w:rPr>
  </w:style>
  <w:style w:type="paragraph" w:styleId="ListParagraph">
    <w:name w:val="List Paragraph"/>
    <w:basedOn w:val="Normal"/>
    <w:uiPriority w:val="34"/>
    <w:qFormat/>
    <w:rsid w:val="00FA01A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A01AE"/>
    <w:rPr>
      <w:i/>
      <w:iCs/>
      <w:color w:val="0F4761" w:themeColor="accent1" w:themeShade="BF"/>
    </w:rPr>
  </w:style>
  <w:style w:type="paragraph" w:styleId="IntenseQuote">
    <w:name w:val="Intense Quote"/>
    <w:basedOn w:val="Normal"/>
    <w:next w:val="Normal"/>
    <w:link w:val="IntenseQuoteChar"/>
    <w:uiPriority w:val="30"/>
    <w:qFormat/>
    <w:rsid w:val="00FA01A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A01AE"/>
    <w:rPr>
      <w:i/>
      <w:iCs/>
      <w:color w:val="0F4761" w:themeColor="accent1" w:themeShade="BF"/>
    </w:rPr>
  </w:style>
  <w:style w:type="character" w:styleId="IntenseReference">
    <w:name w:val="Intense Reference"/>
    <w:basedOn w:val="DefaultParagraphFont"/>
    <w:uiPriority w:val="32"/>
    <w:qFormat/>
    <w:rsid w:val="00FA01AE"/>
    <w:rPr>
      <w:b/>
      <w:bCs/>
      <w:smallCaps/>
      <w:color w:val="0F4761" w:themeColor="accent1" w:themeShade="BF"/>
      <w:spacing w:val="5"/>
    </w:rPr>
  </w:style>
  <w:style w:type="paragraph" w:styleId="FootnoteText">
    <w:name w:val="footnote text"/>
    <w:basedOn w:val="Normal"/>
    <w:link w:val="FootnoteTextChar"/>
    <w:semiHidden/>
    <w:rsid w:val="00FA01AE"/>
    <w:rPr>
      <w:sz w:val="20"/>
      <w:szCs w:val="20"/>
    </w:rPr>
  </w:style>
  <w:style w:type="character" w:customStyle="1" w:styleId="FootnoteTextChar">
    <w:name w:val="Footnote Text Char"/>
    <w:basedOn w:val="DefaultParagraphFont"/>
    <w:link w:val="FootnoteText"/>
    <w:semiHidden/>
    <w:rsid w:val="00FA01AE"/>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semiHidden/>
    <w:rsid w:val="00FA01AE"/>
    <w:rPr>
      <w:vertAlign w:val="superscript"/>
    </w:rPr>
  </w:style>
  <w:style w:type="paragraph" w:styleId="BodyTextIndent">
    <w:name w:val="Body Text Indent"/>
    <w:basedOn w:val="Normal"/>
    <w:link w:val="BodyTextIndentChar"/>
    <w:semiHidden/>
    <w:rsid w:val="00FA01AE"/>
    <w:pPr>
      <w:ind w:firstLine="720"/>
      <w:jc w:val="both"/>
    </w:pPr>
  </w:style>
  <w:style w:type="character" w:customStyle="1" w:styleId="BodyTextIndentChar">
    <w:name w:val="Body Text Indent Char"/>
    <w:basedOn w:val="DefaultParagraphFont"/>
    <w:link w:val="BodyTextIndent"/>
    <w:semiHidden/>
    <w:rsid w:val="00FA01AE"/>
    <w:rPr>
      <w:rFonts w:ascii="Times New Roman" w:eastAsia="Times New Roman" w:hAnsi="Times New Roman" w:cs="Times New Roman"/>
      <w:kern w:val="0"/>
      <w14:ligatures w14:val="none"/>
    </w:rPr>
  </w:style>
  <w:style w:type="paragraph" w:styleId="BodyText">
    <w:name w:val="Body Text"/>
    <w:basedOn w:val="Normal"/>
    <w:link w:val="BodyTextChar"/>
    <w:semiHidden/>
    <w:rsid w:val="00FA01AE"/>
    <w:pPr>
      <w:ind w:right="-154"/>
    </w:pPr>
  </w:style>
  <w:style w:type="character" w:customStyle="1" w:styleId="BodyTextChar">
    <w:name w:val="Body Text Char"/>
    <w:basedOn w:val="DefaultParagraphFont"/>
    <w:link w:val="BodyText"/>
    <w:semiHidden/>
    <w:rsid w:val="00FA01A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927</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2025-11-03T18:21:00Z</dcterms:created>
  <dcterms:modified xsi:type="dcterms:W3CDTF">2025-12-10T22:35:00Z</dcterms:modified>
</cp:coreProperties>
</file>