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F255" w14:textId="77777777" w:rsidR="002E72C2" w:rsidRDefault="002E72C2" w:rsidP="002E72C2">
      <w:pPr>
        <w:jc w:val="both"/>
        <w:rPr>
          <w:sz w:val="32"/>
        </w:rPr>
      </w:pPr>
      <w:r>
        <w:rPr>
          <w:rFonts w:ascii="Palatia" w:hAnsi="Palatia"/>
          <w:b/>
          <w:sz w:val="28"/>
        </w:rPr>
        <w:t>THE EXISTENCE OF GOD</w:t>
      </w:r>
      <w:bookmarkStart w:id="0" w:name="existence"/>
      <w:bookmarkEnd w:id="0"/>
    </w:p>
    <w:p w14:paraId="7E0698B1" w14:textId="77777777" w:rsidR="002E72C2" w:rsidRDefault="002E72C2" w:rsidP="002E72C2">
      <w:pPr>
        <w:spacing w:line="480" w:lineRule="auto"/>
        <w:jc w:val="both"/>
      </w:pPr>
      <w:r>
        <w:t>Thomas Aquinas in his “</w:t>
      </w:r>
      <w:r>
        <w:rPr>
          <w:i/>
        </w:rPr>
        <w:t xml:space="preserve">Summa </w:t>
      </w:r>
      <w:proofErr w:type="spellStart"/>
      <w:r>
        <w:rPr>
          <w:i/>
        </w:rPr>
        <w:t>Theologiae</w:t>
      </w:r>
      <w:proofErr w:type="spellEnd"/>
      <w:r>
        <w:t>” interprets God’s presence, and more basically his very existence, in five ways under the heading “</w:t>
      </w:r>
      <w:r>
        <w:rPr>
          <w:i/>
        </w:rPr>
        <w:t>Traditional</w:t>
      </w:r>
      <w:r>
        <w:t>” or “</w:t>
      </w:r>
      <w:r>
        <w:rPr>
          <w:i/>
        </w:rPr>
        <w:t>Classical</w:t>
      </w:r>
      <w:r>
        <w:t>” theism. God is presented as the one who “</w:t>
      </w:r>
      <w:r>
        <w:rPr>
          <w:i/>
        </w:rPr>
        <w:t>is</w:t>
      </w:r>
      <w:r>
        <w:t>”.</w:t>
      </w:r>
      <w:r>
        <w:rPr>
          <w:rStyle w:val="FootnoteReference"/>
          <w:rFonts w:eastAsiaTheme="majorEastAsia"/>
        </w:rPr>
        <w:footnoteReference w:id="1"/>
      </w:r>
      <w:r>
        <w:t xml:space="preserve"> First, God is understood to be a </w:t>
      </w:r>
      <w:r>
        <w:rPr>
          <w:i/>
        </w:rPr>
        <w:t>mover</w:t>
      </w:r>
      <w:r>
        <w:t xml:space="preserve"> among the things that are in motion. Second, He is the first </w:t>
      </w:r>
      <w:r>
        <w:rPr>
          <w:i/>
        </w:rPr>
        <w:t>cause</w:t>
      </w:r>
      <w:r>
        <w:t xml:space="preserve"> in the series of causes and effects. Third, He is the one </w:t>
      </w:r>
      <w:r>
        <w:rPr>
          <w:i/>
        </w:rPr>
        <w:t>necessary</w:t>
      </w:r>
      <w:r>
        <w:t xml:space="preserve"> being among all the contingent beings. Fourthly God is the </w:t>
      </w:r>
      <w:r>
        <w:rPr>
          <w:i/>
        </w:rPr>
        <w:t>summit</w:t>
      </w:r>
      <w:r>
        <w:t xml:space="preserve"> of a hierarchical universe. And fifthly, God is the one who has </w:t>
      </w:r>
      <w:r>
        <w:rPr>
          <w:i/>
        </w:rPr>
        <w:t>overall ruling providence</w:t>
      </w:r>
      <w:r>
        <w:t>.</w:t>
      </w:r>
      <w:r>
        <w:rPr>
          <w:rStyle w:val="FootnoteReference"/>
          <w:rFonts w:eastAsiaTheme="majorEastAsia"/>
        </w:rPr>
        <w:footnoteReference w:id="2"/>
      </w:r>
      <w:r>
        <w:t xml:space="preserve"> Aquinas does not understand God as needing or wanting a relationship, but rather he asks who God is, not what He does or becomes.</w:t>
      </w:r>
    </w:p>
    <w:p w14:paraId="5E1CBB21" w14:textId="77777777" w:rsidR="002E72C2" w:rsidRDefault="002E72C2" w:rsidP="002E72C2">
      <w:pPr>
        <w:jc w:val="both"/>
      </w:pPr>
    </w:p>
    <w:p w14:paraId="0F43D282" w14:textId="77777777" w:rsidR="002E72C2" w:rsidRDefault="002E72C2" w:rsidP="002E72C2">
      <w:pPr>
        <w:spacing w:line="480" w:lineRule="auto"/>
        <w:jc w:val="both"/>
      </w:pPr>
      <w:r>
        <w:t>If one is to step outside this equation of who God “is”, then our next question might ask what must God be? It would be fair to assume God is a spiritual being because humans are spiritual beings having a human experience. We might see God as the Creator and goal of all humanity.</w:t>
      </w:r>
      <w:r>
        <w:rPr>
          <w:rStyle w:val="FootnoteReference"/>
          <w:rFonts w:eastAsiaTheme="majorEastAsia"/>
        </w:rPr>
        <w:footnoteReference w:id="3"/>
      </w:r>
      <w:r>
        <w:t xml:space="preserve"> John </w:t>
      </w:r>
      <w:proofErr w:type="spellStart"/>
      <w:r>
        <w:t>Macquarrie</w:t>
      </w:r>
      <w:proofErr w:type="spellEnd"/>
      <w:r>
        <w:t xml:space="preserve"> explains this by suggesting that a human spirit “</w:t>
      </w:r>
      <w:r>
        <w:rPr>
          <w:i/>
        </w:rPr>
        <w:t>remembers</w:t>
      </w:r>
      <w:r>
        <w:t>” its origin and seeks to be rejoined to it or be in union again with its creator.</w:t>
      </w:r>
      <w:r>
        <w:rPr>
          <w:rStyle w:val="FootnoteReference"/>
          <w:rFonts w:eastAsiaTheme="majorEastAsia"/>
        </w:rPr>
        <w:footnoteReference w:id="4"/>
      </w:r>
      <w:r>
        <w:t xml:space="preserve"> </w:t>
      </w:r>
    </w:p>
    <w:p w14:paraId="37EF7FD2" w14:textId="77777777" w:rsidR="002E72C2" w:rsidRDefault="002E72C2" w:rsidP="002E72C2">
      <w:pPr>
        <w:jc w:val="both"/>
      </w:pPr>
    </w:p>
    <w:p w14:paraId="7A0776C6" w14:textId="77777777" w:rsidR="002E72C2" w:rsidRDefault="002E72C2" w:rsidP="002E72C2">
      <w:pPr>
        <w:spacing w:line="480" w:lineRule="auto"/>
        <w:jc w:val="both"/>
      </w:pPr>
      <w:r>
        <w:lastRenderedPageBreak/>
        <w:t>Aquinas is not primarily interested in where or to whom we go but rather in who God is and what He creates. In his question number 8, article 2, “</w:t>
      </w:r>
      <w:r>
        <w:rPr>
          <w:i/>
        </w:rPr>
        <w:t>is God everywhere</w:t>
      </w:r>
      <w:r>
        <w:t>?”, he answers God is not everywhere because it is not fitting for God to be everywhere.</w:t>
      </w:r>
      <w:r>
        <w:rPr>
          <w:rStyle w:val="FootnoteReference"/>
          <w:rFonts w:eastAsiaTheme="majorEastAsia"/>
        </w:rPr>
        <w:footnoteReference w:id="5"/>
      </w:r>
      <w:r>
        <w:t xml:space="preserve"> A place relates to a permanence and it is impossible for division in God, therefore He cannot exist in more than one place at the same time. He cannot be everywhere. On the other </w:t>
      </w:r>
      <w:proofErr w:type="gramStart"/>
      <w:r>
        <w:t>hand</w:t>
      </w:r>
      <w:proofErr w:type="gramEnd"/>
      <w:r>
        <w:t xml:space="preserve"> Aquinas continues on to say God’s presence in a place does not exclude the presence of other things. He argues that God fills all places by giving existence to everything in such places.</w:t>
      </w:r>
      <w:r>
        <w:rPr>
          <w:rStyle w:val="FootnoteReference"/>
          <w:rFonts w:eastAsiaTheme="majorEastAsia"/>
        </w:rPr>
        <w:footnoteReference w:id="6"/>
      </w:r>
    </w:p>
    <w:p w14:paraId="0B6481D2" w14:textId="77777777" w:rsidR="002E72C2" w:rsidRDefault="002E72C2" w:rsidP="002E72C2">
      <w:pPr>
        <w:jc w:val="both"/>
      </w:pPr>
    </w:p>
    <w:p w14:paraId="29D4FA61" w14:textId="77777777" w:rsidR="002E72C2" w:rsidRDefault="002E72C2" w:rsidP="002E72C2">
      <w:pPr>
        <w:spacing w:line="480" w:lineRule="auto"/>
        <w:jc w:val="both"/>
        <w:rPr>
          <w:sz w:val="16"/>
        </w:rPr>
      </w:pPr>
      <w:r>
        <w:t>Aquinas’ reply to article 2 includes God speaking to Jeremiah “</w:t>
      </w:r>
      <w:r>
        <w:rPr>
          <w:i/>
        </w:rPr>
        <w:t>I fill heaven and earth</w:t>
      </w:r>
      <w:r>
        <w:t>.” The emphasis is on God being out there ruling over His providence. God is interpreted as unfeeling and so self-efficient as to border on self-centred egoism.</w:t>
      </w:r>
      <w:r>
        <w:rPr>
          <w:rStyle w:val="FootnoteReference"/>
          <w:rFonts w:eastAsiaTheme="majorEastAsia"/>
        </w:rPr>
        <w:footnoteReference w:id="7"/>
      </w:r>
      <w:r>
        <w:t xml:space="preserve"> Qualities such as compassion for Aquinas do not apply to God. Yet the God of Jeremiah seeks communion with his creation, especially with His covenant people. For example, when He called Jeremiah to speak to His people as prophet, He used analogies of the bridegroom now abandoned (</w:t>
      </w:r>
      <w:r>
        <w:rPr>
          <w:sz w:val="16"/>
        </w:rPr>
        <w:t>Jer 2:2</w:t>
      </w:r>
      <w:r>
        <w:t>), the fountain of living water (</w:t>
      </w:r>
      <w:r>
        <w:rPr>
          <w:sz w:val="16"/>
        </w:rPr>
        <w:t>2:13</w:t>
      </w:r>
      <w:r>
        <w:t>) and of the wounded betrayed father (</w:t>
      </w:r>
      <w:r>
        <w:rPr>
          <w:sz w:val="16"/>
        </w:rPr>
        <w:t>3:19</w:t>
      </w:r>
      <w:r>
        <w:t>). Jeremiah conveys God’s grief as being beyond healing and whose heart is sick within Him (</w:t>
      </w:r>
      <w:r>
        <w:rPr>
          <w:sz w:val="16"/>
        </w:rPr>
        <w:t>8:18</w:t>
      </w:r>
      <w:r>
        <w:t xml:space="preserve">). God in Jeremiah’s experience is </w:t>
      </w:r>
      <w:r>
        <w:lastRenderedPageBreak/>
        <w:t>revealed as one who is kind and patient, expressed passionately in the analogy of the potter’s vessel (</w:t>
      </w:r>
      <w:r>
        <w:rPr>
          <w:sz w:val="16"/>
        </w:rPr>
        <w:t>18:1-11</w:t>
      </w:r>
      <w:r>
        <w:t>). Again, God’s presence is best revealed in terms of a relationship with another; communion with humanity is what God’s constant activity implies.</w:t>
      </w:r>
      <w:r>
        <w:rPr>
          <w:rStyle w:val="FootnoteReference"/>
          <w:rFonts w:eastAsiaTheme="majorEastAsia"/>
        </w:rPr>
        <w:footnoteReference w:id="8"/>
      </w:r>
    </w:p>
    <w:p w14:paraId="6A9631B4" w14:textId="77777777" w:rsidR="002E72C2" w:rsidRDefault="002E72C2" w:rsidP="002E72C2">
      <w:pPr>
        <w:jc w:val="both"/>
      </w:pPr>
    </w:p>
    <w:p w14:paraId="1EFDB7C2" w14:textId="77777777" w:rsidR="002E72C2" w:rsidRDefault="002E72C2" w:rsidP="002E72C2">
      <w:pPr>
        <w:spacing w:line="480" w:lineRule="auto"/>
        <w:jc w:val="both"/>
      </w:pPr>
      <w:r>
        <w:t xml:space="preserve">The Greek mind understands every person acts to what is based on inner necessity. </w:t>
      </w:r>
      <w:proofErr w:type="spellStart"/>
      <w:r>
        <w:t>Its</w:t>
      </w:r>
      <w:proofErr w:type="spellEnd"/>
      <w:r>
        <w:t xml:space="preserve"> being is what its essence determines it to be. Reality to them is understood as a universally valid idea or form of a person, which all individuals participate in.</w:t>
      </w:r>
      <w:r>
        <w:rPr>
          <w:rStyle w:val="FootnoteReference"/>
          <w:rFonts w:eastAsiaTheme="majorEastAsia"/>
        </w:rPr>
        <w:footnoteReference w:id="9"/>
      </w:r>
      <w:r>
        <w:t xml:space="preserve"> Human free actions can proceed only from human nature, made possible because of intelligence under the condition of existence. In other words, human behaviour is free by necessity and restraint, and therefore man is subject to fate. Christianity believes in God’s providence, not in limiting a person’s freedom, but rather in God’s guidance towards a final achievement or end.</w:t>
      </w:r>
      <w:r>
        <w:rPr>
          <w:rStyle w:val="FootnoteReference"/>
          <w:rFonts w:eastAsiaTheme="majorEastAsia"/>
        </w:rPr>
        <w:footnoteReference w:id="10"/>
      </w:r>
      <w:r>
        <w:t xml:space="preserve"> Providence is understood as a transcendental experience through human nature, and it is implied a need for trust by the believer involving freedom and participation.</w:t>
      </w:r>
      <w:r>
        <w:rPr>
          <w:rStyle w:val="FootnoteReference"/>
          <w:rFonts w:eastAsiaTheme="majorEastAsia"/>
        </w:rPr>
        <w:footnoteReference w:id="11"/>
      </w:r>
      <w:r>
        <w:t xml:space="preserve">Thomas Aquinas spoke about God’s providence as planning things to the end, of having a rational plan directed towards eternal life. Providence in the early Church too was interpreted as God provides and controls events from a distance. As I have already said God’s essence is </w:t>
      </w:r>
      <w:r>
        <w:lastRenderedPageBreak/>
        <w:t>about self-gift, which implies availability and vulnerability, therefore providence is not about control or manipulation, but about allowing independence enmeshed in the gift of free will.</w:t>
      </w:r>
      <w:r>
        <w:rPr>
          <w:rStyle w:val="FootnoteReference"/>
          <w:rFonts w:eastAsiaTheme="majorEastAsia"/>
        </w:rPr>
        <w:footnoteReference w:id="12"/>
      </w:r>
    </w:p>
    <w:p w14:paraId="067F6080" w14:textId="77777777" w:rsidR="002E72C2" w:rsidRDefault="002E72C2" w:rsidP="002E72C2">
      <w:pPr>
        <w:jc w:val="both"/>
        <w:rPr>
          <w:rStyle w:val="FootnoteReference"/>
          <w:rFonts w:eastAsiaTheme="majorEastAsia"/>
          <w:sz w:val="24"/>
        </w:rPr>
      </w:pPr>
    </w:p>
    <w:p w14:paraId="5FA5CBDD" w14:textId="77777777" w:rsidR="002E72C2" w:rsidRDefault="002E72C2" w:rsidP="002E72C2">
      <w:pPr>
        <w:spacing w:line="480" w:lineRule="auto"/>
        <w:jc w:val="both"/>
      </w:pPr>
      <w:r>
        <w:t xml:space="preserve">The atheistic concept believes there is no God. It is not a question of which god or a god of a higher power. The faith of an atheist is that there is no god, and the universe has its own natural power ending in death and there is nothing divine about it. The belief is related to control and wanting to be free of accountability; of being </w:t>
      </w:r>
      <w:proofErr w:type="gramStart"/>
      <w:r>
        <w:t>god</w:t>
      </w:r>
      <w:proofErr w:type="gramEnd"/>
      <w:r>
        <w:t xml:space="preserve"> to themselves. The desire to be free from thinking about God comes from a need to be free from injustice and suffering. The concept focuses on power rather than vulnerability and service towards community. Men like Aquinas and Boniface had objectified atheistic faith as being there is no God, causing a person to exist only for himself or herself. The analysis is related to creation and theological causes.</w:t>
      </w:r>
    </w:p>
    <w:p w14:paraId="768AD46B" w14:textId="77777777" w:rsidR="002E72C2" w:rsidRDefault="002E72C2" w:rsidP="002E72C2">
      <w:pPr>
        <w:jc w:val="both"/>
      </w:pPr>
    </w:p>
    <w:p w14:paraId="470405BB" w14:textId="77777777" w:rsidR="002E72C2" w:rsidRDefault="002E72C2" w:rsidP="002E72C2">
      <w:pPr>
        <w:spacing w:line="480" w:lineRule="auto"/>
        <w:jc w:val="both"/>
        <w:rPr>
          <w:i/>
        </w:rPr>
      </w:pPr>
      <w:r>
        <w:t xml:space="preserve">Descartes developed a subjective understanding when he declared </w:t>
      </w:r>
      <w:r>
        <w:rPr>
          <w:i/>
        </w:rPr>
        <w:t>“Let him deceive me as much as he will, he can never make me be nothing as long as I think that I am something.”</w:t>
      </w:r>
      <w:r>
        <w:t xml:space="preserve"> In other words, because I think, therefore I am. </w:t>
      </w:r>
      <w:proofErr w:type="spellStart"/>
      <w:r>
        <w:t>Decartes</w:t>
      </w:r>
      <w:proofErr w:type="spellEnd"/>
      <w:r>
        <w:t>’ understanding of God, a concept he explains subjectively, revolves around the meaning of self-fulfilment. This concept is based on human freedom that is self-centred</w:t>
      </w:r>
      <w:r>
        <w:rPr>
          <w:i/>
        </w:rPr>
        <w:t xml:space="preserve">. </w:t>
      </w:r>
      <w:proofErr w:type="spellStart"/>
      <w:r>
        <w:t>Descarte</w:t>
      </w:r>
      <w:proofErr w:type="spellEnd"/>
      <w:r>
        <w:t xml:space="preserve"> believes firmly in the idea of God, </w:t>
      </w:r>
      <w:r>
        <w:lastRenderedPageBreak/>
        <w:t>but on a functional level; one acts and creates outside the co-operation of others.</w:t>
      </w:r>
      <w:r>
        <w:rPr>
          <w:rStyle w:val="FootnoteReference"/>
          <w:rFonts w:eastAsiaTheme="majorEastAsia"/>
        </w:rPr>
        <w:footnoteReference w:id="13"/>
      </w:r>
    </w:p>
    <w:p w14:paraId="005CB054" w14:textId="77777777" w:rsidR="002E72C2" w:rsidRDefault="002E72C2" w:rsidP="002E72C2">
      <w:pPr>
        <w:jc w:val="both"/>
        <w:rPr>
          <w:i/>
        </w:rPr>
      </w:pPr>
    </w:p>
    <w:p w14:paraId="7EE52E60" w14:textId="77777777" w:rsidR="002E72C2" w:rsidRDefault="002E72C2" w:rsidP="002E72C2">
      <w:pPr>
        <w:spacing w:line="480" w:lineRule="auto"/>
        <w:jc w:val="both"/>
      </w:pPr>
      <w:r>
        <w:t xml:space="preserve">Immanuel Kant formulated the idea that only rational beings can have an idea of law and who they are, consciously formed by their conduct based on principles. God here is the supreme ideal, the highest value, and the eternal law giver which </w:t>
      </w:r>
      <w:proofErr w:type="spellStart"/>
      <w:r>
        <w:t>can not</w:t>
      </w:r>
      <w:proofErr w:type="spellEnd"/>
      <w:r>
        <w:t xml:space="preserve"> be reached by academic reason. Kant’s aim was to free man from self-interest and thereby safeguard his freedom.</w:t>
      </w:r>
      <w:r>
        <w:rPr>
          <w:rStyle w:val="FootnoteReference"/>
          <w:rFonts w:eastAsiaTheme="majorEastAsia"/>
        </w:rPr>
        <w:footnoteReference w:id="14"/>
      </w:r>
      <w:r>
        <w:t>Kant’s principle here is a formal cause, it is based on the dignity of the human person. Yet, it is impersonal for it is main concern is for the human race as a whole, hence God is understood as one who is singularly active.</w:t>
      </w:r>
      <w:r>
        <w:rPr>
          <w:rStyle w:val="FootnoteReference"/>
          <w:rFonts w:eastAsiaTheme="majorEastAsia"/>
        </w:rPr>
        <w:footnoteReference w:id="15"/>
      </w:r>
    </w:p>
    <w:p w14:paraId="39310AFE" w14:textId="77777777" w:rsidR="002E72C2" w:rsidRDefault="002E72C2" w:rsidP="002E72C2">
      <w:pPr>
        <w:jc w:val="both"/>
      </w:pPr>
    </w:p>
    <w:p w14:paraId="297F8CB7" w14:textId="77777777" w:rsidR="002E72C2" w:rsidRDefault="002E72C2" w:rsidP="002E72C2">
      <w:pPr>
        <w:spacing w:line="480" w:lineRule="auto"/>
        <w:jc w:val="both"/>
      </w:pPr>
      <w:r>
        <w:t>Present day denial of God has two basic foundations. First, there is the individual’s self-fulfilment through economics, materialism and politics, meaning there is less need for God. Second the self-directed individual focuses on humanism, personal freedom and liberation; meaning human dignity and freedom versus the acceptance of God.</w:t>
      </w:r>
      <w:r>
        <w:rPr>
          <w:rStyle w:val="FootnoteReference"/>
          <w:rFonts w:eastAsiaTheme="majorEastAsia"/>
        </w:rPr>
        <w:footnoteReference w:id="16"/>
      </w:r>
      <w:r>
        <w:t xml:space="preserve"> Karl Marx was a modern atheist who was mainly interested in realistic humanism, one that created a materialist man. His interest was subjectivity and idealist, meaning materialism and humanism are the same with </w:t>
      </w:r>
      <w:r>
        <w:lastRenderedPageBreak/>
        <w:t>man being the supreme being for man. He received a doctorate based on a thesis called the “materialistic philosophy of Epicure”.</w:t>
      </w:r>
      <w:r>
        <w:rPr>
          <w:rStyle w:val="FootnoteReference"/>
          <w:rFonts w:eastAsiaTheme="majorEastAsia"/>
        </w:rPr>
        <w:footnoteReference w:id="17"/>
      </w:r>
      <w:r>
        <w:t xml:space="preserve"> Marx tried to understand a person in terms of economics and social conditions. In other </w:t>
      </w:r>
      <w:proofErr w:type="gramStart"/>
      <w:r>
        <w:t>words</w:t>
      </w:r>
      <w:proofErr w:type="gramEnd"/>
      <w:r>
        <w:t xml:space="preserve"> his criticism of God and religion was an expression wanting to restore human relationship to humanity. He thought it possible to overthrow conditions that enslave a person, such as the engines of industrial power and the Bourgeoisie. Marx’s dilemma is related to human suffering and so he wanted control over all existence for the sake of freedom as he perceived it.</w:t>
      </w:r>
    </w:p>
    <w:p w14:paraId="1D46052D" w14:textId="77777777" w:rsidR="002E72C2" w:rsidRDefault="002E72C2" w:rsidP="002E72C2">
      <w:pPr>
        <w:jc w:val="both"/>
      </w:pPr>
    </w:p>
    <w:p w14:paraId="224147C5" w14:textId="77777777" w:rsidR="002E72C2" w:rsidRDefault="002E72C2" w:rsidP="002E72C2">
      <w:pPr>
        <w:spacing w:line="480" w:lineRule="auto"/>
        <w:jc w:val="both"/>
        <w:rPr>
          <w:rStyle w:val="FootnoteReference"/>
          <w:rFonts w:eastAsiaTheme="majorEastAsia"/>
        </w:rPr>
      </w:pPr>
      <w:r>
        <w:t>Walter Kasper a professor of Catholic theology, discerns atheism as being related to human freedom rather than to the God question.</w:t>
      </w:r>
      <w:r>
        <w:rPr>
          <w:rStyle w:val="FootnoteReference"/>
          <w:rFonts w:eastAsiaTheme="majorEastAsia"/>
        </w:rPr>
        <w:footnoteReference w:id="18"/>
      </w:r>
      <w:r>
        <w:t xml:space="preserve"> He discerns two types of freedom, first an evolutionary one, followed by a revolutionary freedom. The first challenges that a person does not need to live under religious authority with its doctrines. Second, revolutionary freedom seeks to remove any forms of oppression. Both deduce the human person to a functional purpose with no greater meaning than to live for the present.</w:t>
      </w:r>
      <w:r>
        <w:rPr>
          <w:rStyle w:val="FootnoteReference"/>
          <w:rFonts w:eastAsiaTheme="majorEastAsia"/>
        </w:rPr>
        <w:footnoteReference w:id="19"/>
      </w:r>
      <w:r>
        <w:t xml:space="preserve">In other words a person’s happiness is based on past sufferings of others. The question of personal dignity and meaning cannot be properly confronted by atheism because it is irrelevant. Christian faith on the other hand </w:t>
      </w:r>
      <w:r>
        <w:lastRenderedPageBreak/>
        <w:t>understands a person is more than just social actions and functions as does atheism. A person is one who possesses inherent value, meaning and human dignity expressed in every act of freedom, based on the transcendence of the person.</w:t>
      </w:r>
      <w:r>
        <w:rPr>
          <w:rStyle w:val="FootnoteReference"/>
          <w:rFonts w:eastAsiaTheme="majorEastAsia"/>
        </w:rPr>
        <w:footnoteReference w:id="20"/>
      </w:r>
    </w:p>
    <w:p w14:paraId="3D6B21CA" w14:textId="77777777" w:rsidR="002E72C2" w:rsidRDefault="002E72C2" w:rsidP="002E72C2">
      <w:pPr>
        <w:jc w:val="both"/>
      </w:pPr>
    </w:p>
    <w:p w14:paraId="51FC1853" w14:textId="77777777" w:rsidR="002E72C2" w:rsidRDefault="002E72C2" w:rsidP="002E72C2">
      <w:pPr>
        <w:spacing w:line="480" w:lineRule="auto"/>
        <w:jc w:val="both"/>
        <w:rPr>
          <w:rStyle w:val="FootnoteReference"/>
          <w:rFonts w:eastAsiaTheme="majorEastAsia"/>
        </w:rPr>
      </w:pPr>
      <w:r>
        <w:t>A more fundamental level of atheism is nihilism. This belief emphasises there is no God; that God is nothingness, that there is no truth at all, and humanity only exists for what it needs. The system perceives eternity in every instant because human nature itself is able to be a bridge between being and meaning. A person seeks to be a god, to be a master only unto himself or herself.</w:t>
      </w:r>
    </w:p>
    <w:p w14:paraId="4F3E0F1A" w14:textId="77777777" w:rsidR="002E72C2" w:rsidRDefault="002E72C2" w:rsidP="002E72C2">
      <w:pPr>
        <w:jc w:val="both"/>
      </w:pPr>
    </w:p>
    <w:p w14:paraId="1AD64851" w14:textId="77777777" w:rsidR="002E72C2" w:rsidRDefault="002E72C2" w:rsidP="002E72C2">
      <w:pPr>
        <w:spacing w:line="480" w:lineRule="auto"/>
        <w:jc w:val="both"/>
      </w:pPr>
      <w:r>
        <w:t xml:space="preserve">Faith in God and faith in </w:t>
      </w:r>
      <w:proofErr w:type="gramStart"/>
      <w:r>
        <w:t>Psychological</w:t>
      </w:r>
      <w:proofErr w:type="gramEnd"/>
      <w:r>
        <w:t xml:space="preserve"> structures, of which nihilism is a player, express two different dimensional experiences. Both dovetail into one another, and to discern their difference and understand them correctly can be a problem. A person can be seduced by psychological techniques that produce peace. The peace one feels generally comes from an experience of an encounter with oneself. A person as understood to be created into the image of God </w:t>
      </w:r>
      <w:r>
        <w:rPr>
          <w:sz w:val="16"/>
        </w:rPr>
        <w:t>(Gen 1:26),</w:t>
      </w:r>
      <w:r>
        <w:t xml:space="preserve"> needs to live beyond such psychological experiences to encounter God who is present.</w:t>
      </w:r>
      <w:r>
        <w:rPr>
          <w:rStyle w:val="FootnoteReference"/>
          <w:rFonts w:eastAsiaTheme="majorEastAsia"/>
        </w:rPr>
        <w:footnoteReference w:id="21"/>
      </w:r>
    </w:p>
    <w:p w14:paraId="29A1062C" w14:textId="77777777" w:rsidR="002E72C2" w:rsidRDefault="002E72C2" w:rsidP="002E72C2">
      <w:pPr>
        <w:jc w:val="both"/>
      </w:pPr>
    </w:p>
    <w:p w14:paraId="2176890C" w14:textId="77777777" w:rsidR="002E72C2" w:rsidRDefault="002E72C2" w:rsidP="002E72C2">
      <w:pPr>
        <w:spacing w:line="480" w:lineRule="auto"/>
        <w:jc w:val="both"/>
      </w:pPr>
      <w:r>
        <w:lastRenderedPageBreak/>
        <w:t>Sigmund Freud defined a person as a creature of instinct; a person who either fights or takes flight. Religion for him is the need to defend oneself against the forces of nature. God and religion then are an illusion. He once wrote that;</w:t>
      </w:r>
    </w:p>
    <w:p w14:paraId="5B745AA3" w14:textId="77777777" w:rsidR="002E72C2" w:rsidRDefault="002E72C2" w:rsidP="002E72C2">
      <w:pPr>
        <w:spacing w:line="240" w:lineRule="auto"/>
        <w:ind w:left="720" w:right="964"/>
        <w:jc w:val="both"/>
      </w:pPr>
      <w:r>
        <w:rPr>
          <w:sz w:val="20"/>
        </w:rPr>
        <w:t>“By withdrawing their expectations from the other world and concentrating all their liberated energies into their life on earth, they will probably succeed in achieving a state of things in which life will become tolerable for everyone and civilisation no longer oppressive to anyone.”</w:t>
      </w:r>
      <w:r>
        <w:t xml:space="preserve"> </w:t>
      </w:r>
      <w:r>
        <w:rPr>
          <w:rStyle w:val="FootnoteReference"/>
          <w:rFonts w:eastAsiaTheme="majorEastAsia"/>
        </w:rPr>
        <w:footnoteReference w:id="22"/>
      </w:r>
    </w:p>
    <w:p w14:paraId="19C611C8" w14:textId="77777777" w:rsidR="002E72C2" w:rsidRDefault="002E72C2" w:rsidP="002E72C2">
      <w:pPr>
        <w:ind w:left="720" w:right="964"/>
        <w:jc w:val="both"/>
      </w:pPr>
    </w:p>
    <w:p w14:paraId="5EA4F514" w14:textId="77777777" w:rsidR="002E72C2" w:rsidRDefault="002E72C2" w:rsidP="002E72C2">
      <w:pPr>
        <w:spacing w:line="480" w:lineRule="auto"/>
        <w:jc w:val="both"/>
        <w:rPr>
          <w:sz w:val="28"/>
        </w:rPr>
      </w:pPr>
      <w:r>
        <w:t>Psychology from Freud’s perspective is about saving a person’s sanity. The focus is on fulfilment, self-confidence, adjusting or improving one’s reactions to a situation. The point of junction is on human behaviour and personal development for the sake of the individual.</w:t>
      </w:r>
      <w:r>
        <w:rPr>
          <w:rStyle w:val="FootnoteReference"/>
          <w:rFonts w:eastAsiaTheme="majorEastAsia"/>
        </w:rPr>
        <w:footnoteReference w:id="23"/>
      </w:r>
      <w:r>
        <w:t>On the other hand, Christian faith accepts God’s promise to be with a person to enable them to have the ability to transcend their own capacity and be in union with the rest of the community. God’s involvement does not dictate terms or conditions but waits for a free faith response from the individual.</w:t>
      </w:r>
      <w:r>
        <w:rPr>
          <w:rStyle w:val="FootnoteReference"/>
          <w:rFonts w:eastAsiaTheme="majorEastAsia"/>
        </w:rPr>
        <w:footnoteReference w:id="24"/>
      </w:r>
    </w:p>
    <w:p w14:paraId="795AEEC8" w14:textId="77777777" w:rsidR="002E72C2" w:rsidRDefault="002E72C2" w:rsidP="002E72C2">
      <w:pPr>
        <w:jc w:val="both"/>
        <w:rPr>
          <w:sz w:val="28"/>
        </w:rPr>
      </w:pPr>
    </w:p>
    <w:p w14:paraId="2B9DC1CD" w14:textId="77777777" w:rsidR="00BD7716" w:rsidRDefault="00BD7716"/>
    <w:sectPr w:rsidR="00BD77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53C0F" w14:textId="77777777" w:rsidR="00523BBE" w:rsidRDefault="00523BBE" w:rsidP="002E72C2">
      <w:pPr>
        <w:spacing w:line="240" w:lineRule="auto"/>
      </w:pPr>
      <w:r>
        <w:separator/>
      </w:r>
    </w:p>
  </w:endnote>
  <w:endnote w:type="continuationSeparator" w:id="0">
    <w:p w14:paraId="35DCD631" w14:textId="77777777" w:rsidR="00523BBE" w:rsidRDefault="00523BBE" w:rsidP="002E72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Palatia">
    <w:altName w:val="Calibri"/>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6892" w14:textId="77777777" w:rsidR="00523BBE" w:rsidRDefault="00523BBE" w:rsidP="002E72C2">
      <w:pPr>
        <w:spacing w:line="240" w:lineRule="auto"/>
      </w:pPr>
      <w:r>
        <w:separator/>
      </w:r>
    </w:p>
  </w:footnote>
  <w:footnote w:type="continuationSeparator" w:id="0">
    <w:p w14:paraId="318B25D0" w14:textId="77777777" w:rsidR="00523BBE" w:rsidRDefault="00523BBE" w:rsidP="002E72C2">
      <w:pPr>
        <w:spacing w:line="240" w:lineRule="auto"/>
      </w:pPr>
      <w:r>
        <w:continuationSeparator/>
      </w:r>
    </w:p>
  </w:footnote>
  <w:footnote w:id="1">
    <w:p w14:paraId="30876BCA" w14:textId="77777777" w:rsidR="002E72C2" w:rsidRDefault="002E72C2" w:rsidP="002E72C2">
      <w:pPr>
        <w:pStyle w:val="FootnoteText"/>
      </w:pPr>
      <w:r>
        <w:footnoteRef/>
      </w:r>
      <w:r>
        <w:t xml:space="preserve"> J, </w:t>
      </w:r>
      <w:proofErr w:type="spellStart"/>
      <w:r>
        <w:t>Macquarrie</w:t>
      </w:r>
      <w:proofErr w:type="spellEnd"/>
      <w:r>
        <w:t xml:space="preserve">, </w:t>
      </w:r>
      <w:r>
        <w:rPr>
          <w:u w:val="single"/>
        </w:rPr>
        <w:t xml:space="preserve">In Search of </w:t>
      </w:r>
      <w:proofErr w:type="spellStart"/>
      <w:r>
        <w:rPr>
          <w:u w:val="single"/>
        </w:rPr>
        <w:t>Diety</w:t>
      </w:r>
      <w:proofErr w:type="spellEnd"/>
      <w:r>
        <w:t>. (</w:t>
      </w:r>
      <w:proofErr w:type="gramStart"/>
      <w:r>
        <w:t>London :</w:t>
      </w:r>
      <w:proofErr w:type="gramEnd"/>
      <w:r>
        <w:t xml:space="preserve"> SCM Press LTD, 1984), p.31.</w:t>
      </w:r>
    </w:p>
  </w:footnote>
  <w:footnote w:id="2">
    <w:p w14:paraId="563EE50B" w14:textId="77777777" w:rsidR="002E72C2" w:rsidRDefault="002E72C2" w:rsidP="002E72C2">
      <w:pPr>
        <w:pStyle w:val="FootnoteText"/>
      </w:pPr>
      <w:r>
        <w:footnoteRef/>
      </w:r>
      <w:r>
        <w:t xml:space="preserve"> ibid., p.33.</w:t>
      </w:r>
    </w:p>
  </w:footnote>
  <w:footnote w:id="3">
    <w:p w14:paraId="45E5CDD5" w14:textId="77777777" w:rsidR="002E72C2" w:rsidRDefault="002E72C2" w:rsidP="002E72C2">
      <w:pPr>
        <w:pStyle w:val="FootnoteText"/>
      </w:pPr>
      <w:r>
        <w:footnoteRef/>
      </w:r>
      <w:r>
        <w:t xml:space="preserve"> ibid., p.55.</w:t>
      </w:r>
    </w:p>
  </w:footnote>
  <w:footnote w:id="4">
    <w:p w14:paraId="1C16415E" w14:textId="77777777" w:rsidR="002E72C2" w:rsidRDefault="002E72C2" w:rsidP="002E72C2">
      <w:pPr>
        <w:pStyle w:val="FootnoteText"/>
      </w:pPr>
      <w:r>
        <w:footnoteRef/>
      </w:r>
      <w:r>
        <w:t xml:space="preserve"> G, Daly, </w:t>
      </w:r>
      <w:r>
        <w:rPr>
          <w:u w:val="single"/>
        </w:rPr>
        <w:t xml:space="preserve">Creation </w:t>
      </w:r>
      <w:proofErr w:type="gramStart"/>
      <w:r>
        <w:rPr>
          <w:u w:val="single"/>
        </w:rPr>
        <w:t>And</w:t>
      </w:r>
      <w:proofErr w:type="gramEnd"/>
      <w:r>
        <w:rPr>
          <w:u w:val="single"/>
        </w:rPr>
        <w:t xml:space="preserve"> Redemption</w:t>
      </w:r>
      <w:r>
        <w:t>. (Dublin: Gill and Macmillan, 1988), p.194.</w:t>
      </w:r>
    </w:p>
  </w:footnote>
  <w:footnote w:id="5">
    <w:p w14:paraId="1CD67696" w14:textId="77777777" w:rsidR="002E72C2" w:rsidRDefault="002E72C2" w:rsidP="002E72C2">
      <w:pPr>
        <w:pStyle w:val="FootnoteText"/>
      </w:pPr>
      <w:r>
        <w:footnoteRef/>
      </w:r>
      <w:r>
        <w:t xml:space="preserve"> T, Aquinas, </w:t>
      </w:r>
      <w:r>
        <w:rPr>
          <w:u w:val="single"/>
        </w:rPr>
        <w:t xml:space="preserve">Summa </w:t>
      </w:r>
      <w:proofErr w:type="spellStart"/>
      <w:r>
        <w:rPr>
          <w:u w:val="single"/>
        </w:rPr>
        <w:t>Theologiae</w:t>
      </w:r>
      <w:proofErr w:type="spellEnd"/>
      <w:r>
        <w:t xml:space="preserve">. (London: Eyre &amp; </w:t>
      </w:r>
      <w:proofErr w:type="spellStart"/>
      <w:r>
        <w:t>Spottiswoode</w:t>
      </w:r>
      <w:proofErr w:type="spellEnd"/>
      <w:r>
        <w:t xml:space="preserve">, </w:t>
      </w:r>
      <w:proofErr w:type="gramStart"/>
      <w:r>
        <w:t>1964 )</w:t>
      </w:r>
      <w:proofErr w:type="gramEnd"/>
      <w:r>
        <w:t>, p. 113.</w:t>
      </w:r>
    </w:p>
  </w:footnote>
  <w:footnote w:id="6">
    <w:p w14:paraId="6A901E40" w14:textId="77777777" w:rsidR="002E72C2" w:rsidRDefault="002E72C2" w:rsidP="002E72C2">
      <w:pPr>
        <w:pStyle w:val="FootnoteText"/>
      </w:pPr>
      <w:r>
        <w:footnoteRef/>
      </w:r>
      <w:r>
        <w:t xml:space="preserve"> ibid., p. 115.</w:t>
      </w:r>
    </w:p>
  </w:footnote>
  <w:footnote w:id="7">
    <w:p w14:paraId="35E55B36" w14:textId="77777777" w:rsidR="002E72C2" w:rsidRDefault="002E72C2" w:rsidP="002E72C2">
      <w:pPr>
        <w:pStyle w:val="FootnoteText"/>
      </w:pPr>
      <w:r>
        <w:footnoteRef/>
      </w:r>
      <w:r>
        <w:t xml:space="preserve"> Daly, </w:t>
      </w:r>
      <w:r>
        <w:rPr>
          <w:u w:val="single"/>
        </w:rPr>
        <w:t>Creation and Redemption</w:t>
      </w:r>
      <w:r>
        <w:t>. p.19.</w:t>
      </w:r>
    </w:p>
  </w:footnote>
  <w:footnote w:id="8">
    <w:p w14:paraId="3AE8F7EA" w14:textId="77777777" w:rsidR="002E72C2" w:rsidRDefault="002E72C2" w:rsidP="002E72C2">
      <w:pPr>
        <w:pStyle w:val="FootnoteText"/>
      </w:pPr>
      <w:r>
        <w:footnoteRef/>
      </w:r>
      <w:r>
        <w:t xml:space="preserve"> </w:t>
      </w:r>
      <w:proofErr w:type="spellStart"/>
      <w:proofErr w:type="gramStart"/>
      <w:r>
        <w:t>May,</w:t>
      </w:r>
      <w:r>
        <w:rPr>
          <w:u w:val="single"/>
        </w:rPr>
        <w:t>The</w:t>
      </w:r>
      <w:proofErr w:type="spellEnd"/>
      <w:proofErr w:type="gramEnd"/>
      <w:r>
        <w:rPr>
          <w:u w:val="single"/>
        </w:rPr>
        <w:t xml:space="preserve"> New Oxford Annotated Bible</w:t>
      </w:r>
      <w:r>
        <w:t>. p.901-936.</w:t>
      </w:r>
    </w:p>
  </w:footnote>
  <w:footnote w:id="9">
    <w:p w14:paraId="167BA8EC" w14:textId="77777777" w:rsidR="002E72C2" w:rsidRDefault="002E72C2" w:rsidP="002E72C2">
      <w:pPr>
        <w:pStyle w:val="FootnoteText"/>
      </w:pPr>
      <w:r>
        <w:footnoteRef/>
      </w:r>
      <w:r>
        <w:t xml:space="preserve"> </w:t>
      </w:r>
      <w:proofErr w:type="spellStart"/>
      <w:proofErr w:type="gramStart"/>
      <w:r>
        <w:t>J,Dwyer</w:t>
      </w:r>
      <w:proofErr w:type="spellEnd"/>
      <w:proofErr w:type="gramEnd"/>
      <w:r>
        <w:t xml:space="preserve">, </w:t>
      </w:r>
      <w:r>
        <w:rPr>
          <w:u w:val="single"/>
        </w:rPr>
        <w:t xml:space="preserve">Son </w:t>
      </w:r>
      <w:proofErr w:type="gramStart"/>
      <w:r>
        <w:rPr>
          <w:u w:val="single"/>
        </w:rPr>
        <w:t>Of</w:t>
      </w:r>
      <w:proofErr w:type="gramEnd"/>
      <w:r>
        <w:rPr>
          <w:u w:val="single"/>
        </w:rPr>
        <w:t xml:space="preserve"> Man &amp; Son </w:t>
      </w:r>
      <w:proofErr w:type="gramStart"/>
      <w:r>
        <w:rPr>
          <w:u w:val="single"/>
        </w:rPr>
        <w:t>Of</w:t>
      </w:r>
      <w:proofErr w:type="gramEnd"/>
      <w:r>
        <w:rPr>
          <w:u w:val="single"/>
        </w:rPr>
        <w:t xml:space="preserve"> God.</w:t>
      </w:r>
      <w:r>
        <w:t xml:space="preserve"> (New York, Paulist Press, 1983), p.60.</w:t>
      </w:r>
    </w:p>
  </w:footnote>
  <w:footnote w:id="10">
    <w:p w14:paraId="210C2234" w14:textId="77777777" w:rsidR="002E72C2" w:rsidRDefault="002E72C2" w:rsidP="002E72C2">
      <w:pPr>
        <w:pStyle w:val="FootnoteText"/>
      </w:pPr>
      <w:r>
        <w:footnoteRef/>
      </w:r>
      <w:r>
        <w:t xml:space="preserve"> Dewart, </w:t>
      </w:r>
      <w:r>
        <w:rPr>
          <w:u w:val="single"/>
        </w:rPr>
        <w:t>God Jesus Spirit</w:t>
      </w:r>
      <w:r>
        <w:t>. p.69.</w:t>
      </w:r>
    </w:p>
  </w:footnote>
  <w:footnote w:id="11">
    <w:p w14:paraId="6988EEC5" w14:textId="77777777" w:rsidR="002E72C2" w:rsidRDefault="002E72C2" w:rsidP="002E72C2">
      <w:pPr>
        <w:pStyle w:val="FootnoteText"/>
      </w:pPr>
      <w:r>
        <w:footnoteRef/>
      </w:r>
      <w:r>
        <w:t xml:space="preserve"> R, McBrien, </w:t>
      </w:r>
      <w:r>
        <w:rPr>
          <w:u w:val="single"/>
        </w:rPr>
        <w:t>Catholicism</w:t>
      </w:r>
      <w:r>
        <w:t>. (New York: Harper Collins Publishers, 1981), p.324.</w:t>
      </w:r>
    </w:p>
  </w:footnote>
  <w:footnote w:id="12">
    <w:p w14:paraId="453CD927" w14:textId="77777777" w:rsidR="002E72C2" w:rsidRDefault="002E72C2" w:rsidP="002E72C2">
      <w:pPr>
        <w:pStyle w:val="FootnoteText"/>
      </w:pPr>
      <w:r>
        <w:footnoteRef/>
      </w:r>
      <w:r>
        <w:t xml:space="preserve"> T, </w:t>
      </w:r>
      <w:proofErr w:type="spellStart"/>
      <w:r>
        <w:t>Corringle</w:t>
      </w:r>
      <w:proofErr w:type="spellEnd"/>
      <w:r>
        <w:t xml:space="preserve">, </w:t>
      </w:r>
      <w:r>
        <w:rPr>
          <w:u w:val="single"/>
        </w:rPr>
        <w:t>God’s Theatre</w:t>
      </w:r>
      <w:r>
        <w:t>. (London: SCM Press, 1991), p.5-8.</w:t>
      </w:r>
    </w:p>
  </w:footnote>
  <w:footnote w:id="13">
    <w:p w14:paraId="4A6381FD" w14:textId="77777777" w:rsidR="002E72C2" w:rsidRDefault="002E72C2" w:rsidP="002E72C2">
      <w:pPr>
        <w:pStyle w:val="FootnoteText"/>
      </w:pPr>
      <w:r>
        <w:footnoteRef/>
      </w:r>
      <w:r>
        <w:t xml:space="preserve"> ibid., p.16-18.</w:t>
      </w:r>
    </w:p>
  </w:footnote>
  <w:footnote w:id="14">
    <w:p w14:paraId="667E9210" w14:textId="77777777" w:rsidR="002E72C2" w:rsidRDefault="002E72C2" w:rsidP="002E72C2">
      <w:pPr>
        <w:pStyle w:val="FootnoteText"/>
      </w:pPr>
      <w:r>
        <w:footnoteRef/>
      </w:r>
      <w:r>
        <w:t xml:space="preserve"> A, </w:t>
      </w:r>
      <w:proofErr w:type="spellStart"/>
      <w:r>
        <w:t>Fagothey</w:t>
      </w:r>
      <w:proofErr w:type="spellEnd"/>
      <w:r>
        <w:t xml:space="preserve">, </w:t>
      </w:r>
      <w:r>
        <w:rPr>
          <w:u w:val="single"/>
        </w:rPr>
        <w:t>Right and Reason</w:t>
      </w:r>
      <w:r>
        <w:t>. (St Louis: C.V. Mosby, 1967), p.139.</w:t>
      </w:r>
    </w:p>
  </w:footnote>
  <w:footnote w:id="15">
    <w:p w14:paraId="20B650C6" w14:textId="77777777" w:rsidR="002E72C2" w:rsidRDefault="002E72C2" w:rsidP="002E72C2">
      <w:pPr>
        <w:pStyle w:val="FootnoteText"/>
      </w:pPr>
      <w:r>
        <w:rPr>
          <w:spacing w:val="-14"/>
        </w:rPr>
        <w:footnoteRef/>
      </w:r>
      <w:r>
        <w:rPr>
          <w:spacing w:val="-14"/>
        </w:rPr>
        <w:t xml:space="preserve"> W, Kasper, </w:t>
      </w:r>
      <w:r>
        <w:rPr>
          <w:spacing w:val="-14"/>
          <w:u w:val="single"/>
        </w:rPr>
        <w:t>The God of Jesus Christ.</w:t>
      </w:r>
      <w:r>
        <w:rPr>
          <w:spacing w:val="-14"/>
        </w:rPr>
        <w:t xml:space="preserve"> (New York: Crossroad Publishing Company, 1992), p.19.</w:t>
      </w:r>
    </w:p>
  </w:footnote>
  <w:footnote w:id="16">
    <w:p w14:paraId="0D45710F" w14:textId="77777777" w:rsidR="002E72C2" w:rsidRDefault="002E72C2" w:rsidP="002E72C2">
      <w:pPr>
        <w:pStyle w:val="FootnoteText"/>
      </w:pPr>
      <w:r>
        <w:footnoteRef/>
      </w:r>
      <w:r>
        <w:t xml:space="preserve"> ibid., p.20.</w:t>
      </w:r>
    </w:p>
  </w:footnote>
  <w:footnote w:id="17">
    <w:p w14:paraId="3C0EF79C" w14:textId="77777777" w:rsidR="002E72C2" w:rsidRDefault="002E72C2" w:rsidP="002E72C2">
      <w:pPr>
        <w:pStyle w:val="FootnoteText"/>
      </w:pPr>
      <w:r>
        <w:footnoteRef/>
      </w:r>
      <w:r>
        <w:t xml:space="preserve"> ibid., p.33.</w:t>
      </w:r>
    </w:p>
  </w:footnote>
  <w:footnote w:id="18">
    <w:p w14:paraId="253DE720" w14:textId="77777777" w:rsidR="002E72C2" w:rsidRDefault="002E72C2" w:rsidP="002E72C2">
      <w:pPr>
        <w:pStyle w:val="FootnoteText"/>
      </w:pPr>
      <w:r>
        <w:footnoteRef/>
      </w:r>
      <w:r>
        <w:t xml:space="preserve"> ibid., p.26.</w:t>
      </w:r>
    </w:p>
  </w:footnote>
  <w:footnote w:id="19">
    <w:p w14:paraId="52D88D17" w14:textId="77777777" w:rsidR="002E72C2" w:rsidRDefault="002E72C2" w:rsidP="002E72C2">
      <w:pPr>
        <w:pStyle w:val="FootnoteText"/>
      </w:pPr>
      <w:r>
        <w:footnoteRef/>
      </w:r>
      <w:r>
        <w:t xml:space="preserve"> O’Donnell, </w:t>
      </w:r>
      <w:r>
        <w:rPr>
          <w:u w:val="single"/>
        </w:rPr>
        <w:t xml:space="preserve">The Mystery </w:t>
      </w:r>
      <w:proofErr w:type="gramStart"/>
      <w:r>
        <w:rPr>
          <w:u w:val="single"/>
        </w:rPr>
        <w:t>Of</w:t>
      </w:r>
      <w:proofErr w:type="gramEnd"/>
      <w:r>
        <w:rPr>
          <w:u w:val="single"/>
        </w:rPr>
        <w:t xml:space="preserve"> </w:t>
      </w:r>
      <w:proofErr w:type="gramStart"/>
      <w:r>
        <w:rPr>
          <w:u w:val="single"/>
        </w:rPr>
        <w:t>The</w:t>
      </w:r>
      <w:proofErr w:type="gramEnd"/>
      <w:r>
        <w:rPr>
          <w:u w:val="single"/>
        </w:rPr>
        <w:t xml:space="preserve"> Triune God</w:t>
      </w:r>
      <w:r>
        <w:t xml:space="preserve"> p.11-12.</w:t>
      </w:r>
    </w:p>
  </w:footnote>
  <w:footnote w:id="20">
    <w:p w14:paraId="58A99CB9" w14:textId="77777777" w:rsidR="002E72C2" w:rsidRDefault="002E72C2" w:rsidP="002E72C2">
      <w:pPr>
        <w:pStyle w:val="FootnoteText"/>
      </w:pPr>
      <w:r>
        <w:footnoteRef/>
      </w:r>
      <w:r>
        <w:t xml:space="preserve"> Kasper, </w:t>
      </w:r>
      <w:r>
        <w:rPr>
          <w:u w:val="single"/>
        </w:rPr>
        <w:t xml:space="preserve">The God </w:t>
      </w:r>
      <w:proofErr w:type="gramStart"/>
      <w:r>
        <w:rPr>
          <w:u w:val="single"/>
        </w:rPr>
        <w:t>Of</w:t>
      </w:r>
      <w:proofErr w:type="gramEnd"/>
      <w:r>
        <w:rPr>
          <w:u w:val="single"/>
        </w:rPr>
        <w:t xml:space="preserve"> Jesus Christ</w:t>
      </w:r>
      <w:r>
        <w:t>. p.38.</w:t>
      </w:r>
    </w:p>
  </w:footnote>
  <w:footnote w:id="21">
    <w:p w14:paraId="7DEE3839" w14:textId="77777777" w:rsidR="002E72C2" w:rsidRDefault="002E72C2" w:rsidP="002E72C2">
      <w:pPr>
        <w:pStyle w:val="FootnoteText"/>
      </w:pPr>
      <w:r>
        <w:footnoteRef/>
      </w:r>
      <w:r>
        <w:t xml:space="preserve"> Wallace, </w:t>
      </w:r>
      <w:r>
        <w:rPr>
          <w:u w:val="single"/>
        </w:rPr>
        <w:t>Encounter Not Performance</w:t>
      </w:r>
      <w:r>
        <w:t>. p.70.</w:t>
      </w:r>
    </w:p>
  </w:footnote>
  <w:footnote w:id="22">
    <w:p w14:paraId="36EFECCD" w14:textId="77777777" w:rsidR="002E72C2" w:rsidRDefault="002E72C2" w:rsidP="002E72C2">
      <w:pPr>
        <w:pStyle w:val="FootnoteText"/>
      </w:pPr>
      <w:r>
        <w:footnoteRef/>
      </w:r>
      <w:r>
        <w:t xml:space="preserve"> ibid., p.31.</w:t>
      </w:r>
    </w:p>
  </w:footnote>
  <w:footnote w:id="23">
    <w:p w14:paraId="2D5C4552" w14:textId="77777777" w:rsidR="002E72C2" w:rsidRDefault="002E72C2" w:rsidP="002E72C2">
      <w:pPr>
        <w:pStyle w:val="FootnoteText"/>
      </w:pPr>
      <w:r>
        <w:rPr>
          <w:spacing w:val="-14"/>
        </w:rPr>
        <w:footnoteRef/>
      </w:r>
      <w:r>
        <w:rPr>
          <w:spacing w:val="-14"/>
        </w:rPr>
        <w:t xml:space="preserve"> W, Kilpatrick, </w:t>
      </w:r>
      <w:r>
        <w:rPr>
          <w:spacing w:val="-14"/>
          <w:u w:val="single"/>
        </w:rPr>
        <w:t>Psychological Seduction</w:t>
      </w:r>
      <w:r>
        <w:rPr>
          <w:spacing w:val="-14"/>
        </w:rPr>
        <w:t>. (New York: Thomas Nelson Publishers, 1983), p.90.</w:t>
      </w:r>
    </w:p>
  </w:footnote>
  <w:footnote w:id="24">
    <w:p w14:paraId="47DC3441" w14:textId="77777777" w:rsidR="002E72C2" w:rsidRDefault="002E72C2" w:rsidP="002E72C2">
      <w:pPr>
        <w:pStyle w:val="FootnoteText"/>
      </w:pPr>
      <w:r>
        <w:footnoteRef/>
      </w:r>
      <w:r>
        <w:t xml:space="preserve"> ibid., p.135.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C2"/>
    <w:rsid w:val="000C24D4"/>
    <w:rsid w:val="002E72C2"/>
    <w:rsid w:val="004E3AF4"/>
    <w:rsid w:val="00523BBE"/>
    <w:rsid w:val="00545A35"/>
    <w:rsid w:val="009E4F7D"/>
    <w:rsid w:val="00BD7716"/>
    <w:rsid w:val="00C9789E"/>
    <w:rsid w:val="00EC1C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8A18"/>
  <w15:chartTrackingRefBased/>
  <w15:docId w15:val="{16CD446F-8C3E-4ABC-B6E7-877A0626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2C2"/>
    <w:pPr>
      <w:overflowPunct w:val="0"/>
      <w:autoSpaceDE w:val="0"/>
      <w:autoSpaceDN w:val="0"/>
      <w:adjustRightInd w:val="0"/>
      <w:spacing w:after="0" w:line="360" w:lineRule="auto"/>
      <w:textAlignment w:val="baseline"/>
    </w:pPr>
    <w:rPr>
      <w:rFonts w:ascii="Courier New" w:eastAsia="Times New Roman" w:hAnsi="Courier New" w:cs="Times New Roman"/>
      <w:kern w:val="0"/>
      <w:szCs w:val="20"/>
      <w:lang w:eastAsia="en-AU"/>
      <w14:ligatures w14:val="none"/>
    </w:rPr>
  </w:style>
  <w:style w:type="paragraph" w:styleId="Heading1">
    <w:name w:val="heading 1"/>
    <w:basedOn w:val="Normal"/>
    <w:next w:val="Normal"/>
    <w:link w:val="Heading1Char"/>
    <w:uiPriority w:val="9"/>
    <w:qFormat/>
    <w:rsid w:val="002E72C2"/>
    <w:pPr>
      <w:keepNext/>
      <w:keepLines/>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E72C2"/>
    <w:pPr>
      <w:keepNext/>
      <w:keepLines/>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E72C2"/>
    <w:pPr>
      <w:keepNext/>
      <w:keepLines/>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E72C2"/>
    <w:pPr>
      <w:keepNext/>
      <w:keepLines/>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2E72C2"/>
    <w:pPr>
      <w:keepNext/>
      <w:keepLines/>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2E72C2"/>
    <w:pPr>
      <w:keepNext/>
      <w:keepLines/>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2E72C2"/>
    <w:pPr>
      <w:keepNext/>
      <w:keepLines/>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2E72C2"/>
    <w:pPr>
      <w:keepNext/>
      <w:keepLines/>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2E72C2"/>
    <w:pPr>
      <w:keepNext/>
      <w:keepLines/>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2C2"/>
    <w:rPr>
      <w:rFonts w:eastAsiaTheme="majorEastAsia" w:cstheme="majorBidi"/>
      <w:color w:val="272727" w:themeColor="text1" w:themeTint="D8"/>
    </w:rPr>
  </w:style>
  <w:style w:type="paragraph" w:styleId="Title">
    <w:name w:val="Title"/>
    <w:basedOn w:val="Normal"/>
    <w:next w:val="Normal"/>
    <w:link w:val="TitleChar"/>
    <w:uiPriority w:val="10"/>
    <w:qFormat/>
    <w:rsid w:val="002E72C2"/>
    <w:pPr>
      <w:overflowPunct/>
      <w:autoSpaceDE/>
      <w:autoSpaceDN/>
      <w:adjustRightInd/>
      <w:spacing w:after="80" w:line="240" w:lineRule="auto"/>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E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2C2"/>
    <w:pPr>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E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2C2"/>
    <w:pPr>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2E72C2"/>
    <w:rPr>
      <w:i/>
      <w:iCs/>
      <w:color w:val="404040" w:themeColor="text1" w:themeTint="BF"/>
    </w:rPr>
  </w:style>
  <w:style w:type="paragraph" w:styleId="ListParagraph">
    <w:name w:val="List Paragraph"/>
    <w:basedOn w:val="Normal"/>
    <w:uiPriority w:val="34"/>
    <w:qFormat/>
    <w:rsid w:val="002E72C2"/>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Cs w:val="24"/>
      <w:lang w:eastAsia="en-US"/>
      <w14:ligatures w14:val="standardContextual"/>
    </w:rPr>
  </w:style>
  <w:style w:type="character" w:styleId="IntenseEmphasis">
    <w:name w:val="Intense Emphasis"/>
    <w:basedOn w:val="DefaultParagraphFont"/>
    <w:uiPriority w:val="21"/>
    <w:qFormat/>
    <w:rsid w:val="002E72C2"/>
    <w:rPr>
      <w:i/>
      <w:iCs/>
      <w:color w:val="0F4761" w:themeColor="accent1" w:themeShade="BF"/>
    </w:rPr>
  </w:style>
  <w:style w:type="paragraph" w:styleId="IntenseQuote">
    <w:name w:val="Intense Quote"/>
    <w:basedOn w:val="Normal"/>
    <w:next w:val="Normal"/>
    <w:link w:val="IntenseQuoteChar"/>
    <w:uiPriority w:val="30"/>
    <w:qFormat/>
    <w:rsid w:val="002E72C2"/>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2E72C2"/>
    <w:rPr>
      <w:i/>
      <w:iCs/>
      <w:color w:val="0F4761" w:themeColor="accent1" w:themeShade="BF"/>
    </w:rPr>
  </w:style>
  <w:style w:type="character" w:styleId="IntenseReference">
    <w:name w:val="Intense Reference"/>
    <w:basedOn w:val="DefaultParagraphFont"/>
    <w:uiPriority w:val="32"/>
    <w:qFormat/>
    <w:rsid w:val="002E72C2"/>
    <w:rPr>
      <w:b/>
      <w:bCs/>
      <w:smallCaps/>
      <w:color w:val="0F4761" w:themeColor="accent1" w:themeShade="BF"/>
      <w:spacing w:val="5"/>
    </w:rPr>
  </w:style>
  <w:style w:type="character" w:styleId="FootnoteReference">
    <w:name w:val="footnote reference"/>
    <w:basedOn w:val="DefaultParagraphFont"/>
    <w:semiHidden/>
    <w:rsid w:val="002E72C2"/>
    <w:rPr>
      <w:position w:val="10"/>
      <w:sz w:val="16"/>
    </w:rPr>
  </w:style>
  <w:style w:type="paragraph" w:styleId="FootnoteText">
    <w:name w:val="footnote text"/>
    <w:basedOn w:val="Normal"/>
    <w:link w:val="FootnoteTextChar"/>
    <w:semiHidden/>
    <w:rsid w:val="002E72C2"/>
    <w:pPr>
      <w:tabs>
        <w:tab w:val="left" w:pos="-720"/>
        <w:tab w:val="left" w:pos="3686"/>
      </w:tabs>
      <w:suppressAutoHyphens/>
      <w:jc w:val="both"/>
    </w:pPr>
    <w:rPr>
      <w:sz w:val="16"/>
    </w:rPr>
  </w:style>
  <w:style w:type="character" w:customStyle="1" w:styleId="FootnoteTextChar">
    <w:name w:val="Footnote Text Char"/>
    <w:basedOn w:val="DefaultParagraphFont"/>
    <w:link w:val="FootnoteText"/>
    <w:semiHidden/>
    <w:rsid w:val="002E72C2"/>
    <w:rPr>
      <w:rFonts w:ascii="Courier New" w:eastAsia="Times New Roman" w:hAnsi="Courier New" w:cs="Times New Roman"/>
      <w:kern w:val="0"/>
      <w:sz w:val="16"/>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2025-11-03T20:48:00Z</dcterms:created>
  <dcterms:modified xsi:type="dcterms:W3CDTF">2025-11-03T21:00:00Z</dcterms:modified>
</cp:coreProperties>
</file>